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comgrade"/>
        <w:tblW w:w="10368" w:type="dxa"/>
        <w:jc w:val="left"/>
        <w:tblInd w:w="-956" w:type="dxa"/>
        <w:tblLayout w:type="fixed"/>
        <w:tblCellMar>
          <w:top w:w="0" w:type="dxa"/>
          <w:left w:w="108" w:type="dxa"/>
          <w:bottom w:w="0" w:type="dxa"/>
          <w:right w:w="108" w:type="dxa"/>
        </w:tblCellMar>
        <w:tblLook w:firstRow="1" w:noVBand="1" w:lastRow="0" w:firstColumn="1" w:lastColumn="0" w:noHBand="0" w:val="04a0"/>
      </w:tblPr>
      <w:tblGrid>
        <w:gridCol w:w="10368"/>
      </w:tblGrid>
      <w:tr>
        <w:trPr>
          <w:trHeight w:val="8221" w:hRule="atLeast"/>
        </w:trPr>
        <w:tc>
          <w:tcPr>
            <w:tcW w:w="10368" w:type="dxa"/>
            <w:tcBorders/>
          </w:tcPr>
          <w:p>
            <w:pPr>
              <w:pStyle w:val="Normal"/>
              <w:pageBreakBefore/>
              <w:widowControl/>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b/>
                <w:bCs/>
                <w:color w:val="000000"/>
                <w:kern w:val="0"/>
                <w:sz w:val="18"/>
                <w:szCs w:val="18"/>
                <w:lang w:val="pt-BR" w:eastAsia="pt-BR" w:bidi="ar-SA"/>
              </w:rPr>
              <w:t>ATA DE REGISTRO DE PREÇOS Nº 09/2021</w:t>
            </w:r>
          </w:p>
          <w:p>
            <w:pPr>
              <w:pStyle w:val="Normal"/>
              <w:widowControl/>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b/>
                <w:bCs/>
                <w:color w:val="000000"/>
                <w:kern w:val="0"/>
                <w:sz w:val="18"/>
                <w:szCs w:val="18"/>
                <w:lang w:val="pt-BR" w:eastAsia="pt-BR" w:bidi="ar-SA"/>
              </w:rPr>
              <w:t>PREGÃO, NA FORMA PRESENCIAL PARA REGISTRO DE PREÇOS Nº</w:t>
            </w:r>
            <w:r>
              <w:rPr>
                <w:rFonts w:eastAsia="Times New Roman" w:cs="Arial" w:ascii="Arial" w:hAnsi="Arial"/>
                <w:b/>
                <w:bCs/>
                <w:color w:val="000000"/>
                <w:kern w:val="0"/>
                <w:sz w:val="18"/>
                <w:szCs w:val="18"/>
                <w:shd w:fill="FFFFFF" w:val="clear"/>
                <w:lang w:val="pt-BR" w:eastAsia="pt-BR" w:bidi="ar-SA"/>
              </w:rPr>
              <w:t xml:space="preserve"> 56/2020 –SEMSA/FMS</w:t>
            </w:r>
          </w:p>
          <w:p>
            <w:pPr>
              <w:pStyle w:val="Normal"/>
              <w:widowControl/>
              <w:spacing w:lineRule="auto" w:line="240" w:beforeAutospacing="1" w:after="0"/>
              <w:jc w:val="both"/>
              <w:rPr>
                <w:rFonts w:ascii="Arial" w:hAnsi="Arial" w:eastAsia="Times New Roman" w:cs="Arial"/>
                <w:b/>
                <w:b/>
                <w:bCs/>
                <w:color w:val="000000"/>
                <w:sz w:val="18"/>
                <w:szCs w:val="18"/>
                <w:lang w:eastAsia="pt-BR"/>
              </w:rPr>
            </w:pPr>
            <w:r>
              <w:rPr>
                <w:rFonts w:eastAsia="Times New Roman" w:cs="Arial" w:ascii="Arial" w:hAnsi="Arial"/>
                <w:color w:val="000000"/>
                <w:kern w:val="0"/>
                <w:sz w:val="18"/>
                <w:szCs w:val="18"/>
                <w:lang w:val="pt-BR" w:eastAsia="pt-BR" w:bidi="ar-SA"/>
              </w:rPr>
              <w:t xml:space="preserve">Aos 24 (vinte e quatro) dias do mês de fevereiro de 2021, na Prefeitura Municipal de Silva Jardim, registram-se os preços da empresa </w:t>
            </w:r>
            <w:r>
              <w:rPr>
                <w:rFonts w:eastAsia="Times New Roman" w:cs="Arial" w:ascii="Arial" w:hAnsi="Arial"/>
                <w:b/>
                <w:bCs/>
                <w:color w:val="000000"/>
                <w:kern w:val="0"/>
                <w:sz w:val="18"/>
                <w:szCs w:val="18"/>
                <w:lang w:val="pt-BR" w:eastAsia="pt-BR" w:bidi="ar-SA"/>
              </w:rPr>
              <w:t>Nutrimix Comercial LTDA,</w:t>
            </w:r>
            <w:r>
              <w:rPr>
                <w:rFonts w:eastAsia="Times New Roman" w:cs="Arial" w:ascii="Arial" w:hAnsi="Arial"/>
                <w:color w:val="000000"/>
                <w:kern w:val="0"/>
                <w:sz w:val="18"/>
                <w:szCs w:val="18"/>
                <w:lang w:val="pt-BR" w:eastAsia="pt-BR" w:bidi="ar-SA"/>
              </w:rPr>
              <w:t xml:space="preserve"> com sede na Estrada Engenheiro Pacheco de Carvalho, nº 32, Lote 01, Maceió, Niterói/RJ, CEP 24.310-090, inscrita no CNPJ/MF sob o nº 12.409.711/0001-01, neste ato representada pelo Srs. </w:t>
            </w:r>
            <w:r>
              <w:rPr>
                <w:rFonts w:eastAsia="Times New Roman" w:cs="Arial" w:ascii="Arial" w:hAnsi="Arial"/>
                <w:b/>
                <w:bCs/>
                <w:color w:val="000000"/>
                <w:kern w:val="0"/>
                <w:sz w:val="18"/>
                <w:szCs w:val="18"/>
                <w:lang w:val="pt-BR" w:eastAsia="pt-BR" w:bidi="ar-SA"/>
              </w:rPr>
              <w:t>Carlos Alberto Tolemei de Araujo</w:t>
            </w:r>
            <w:r>
              <w:rPr>
                <w:rFonts w:eastAsia="Times New Roman" w:cs="Arial" w:ascii="Arial" w:hAnsi="Arial"/>
                <w:color w:val="000000"/>
                <w:kern w:val="0"/>
                <w:sz w:val="18"/>
                <w:szCs w:val="18"/>
                <w:lang w:val="pt-BR" w:eastAsia="pt-BR" w:bidi="ar-SA"/>
              </w:rPr>
              <w:t xml:space="preserve">, portador do documento de identidade nº, 01.933.535-5, órgão expedidor DETRAN/RJ, CPF nº 108.183.757-87, e </w:t>
            </w:r>
            <w:r>
              <w:rPr>
                <w:rFonts w:eastAsia="Times New Roman" w:cs="Arial" w:ascii="Arial" w:hAnsi="Arial"/>
                <w:b/>
                <w:bCs/>
                <w:color w:val="000000"/>
                <w:kern w:val="0"/>
                <w:sz w:val="18"/>
                <w:szCs w:val="18"/>
                <w:lang w:val="pt-BR" w:eastAsia="pt-BR" w:bidi="ar-SA"/>
              </w:rPr>
              <w:t>Marcus Vinicius Santos Figueredo</w:t>
            </w:r>
            <w:r>
              <w:rPr>
                <w:rFonts w:eastAsia="Times New Roman" w:cs="Arial" w:ascii="Arial" w:hAnsi="Arial"/>
                <w:color w:val="000000"/>
                <w:kern w:val="0"/>
                <w:sz w:val="18"/>
                <w:szCs w:val="18"/>
                <w:lang w:val="pt-BR" w:eastAsia="pt-BR" w:bidi="ar-SA"/>
              </w:rPr>
              <w:t xml:space="preserve">, portador do documento de identidade 1214414 órgão expedidor SSP/DF, CPF n° 540.104.621-91, para </w:t>
            </w:r>
            <w:r>
              <w:rPr>
                <w:rFonts w:eastAsia="Times New Roman" w:cs="Arial" w:ascii="Arial" w:hAnsi="Arial"/>
                <w:b/>
                <w:bCs/>
                <w:color w:val="000000"/>
                <w:kern w:val="0"/>
                <w:sz w:val="18"/>
                <w:szCs w:val="18"/>
                <w:shd w:fill="FFFFFF" w:val="clear"/>
                <w:lang w:val="pt-BR" w:eastAsia="pt-BR" w:bidi="ar-SA"/>
              </w:rPr>
              <w:t>Eventual Aquisição de Dieta Enteral e Outros para uso do Serviço de Nutrição e Dietética da PMAM e Pacientes do SAD</w:t>
            </w:r>
            <w:r>
              <w:rPr>
                <w:rFonts w:eastAsia="Times New Roman" w:cs="Arial" w:ascii="Arial" w:hAnsi="Arial"/>
                <w:color w:val="000000"/>
                <w:kern w:val="0"/>
                <w:sz w:val="18"/>
                <w:szCs w:val="18"/>
                <w:shd w:fill="FFFFFF" w:val="clear"/>
                <w:lang w:val="pt-BR" w:eastAsia="pt-BR" w:bidi="ar-SA"/>
              </w:rPr>
              <w:t xml:space="preserve"> – pelo Menor Preço Unitário, decorrente do Pregão, na forma Presencial nº 56/2020 para Sistema de Registro de Preços. O prazo de vigência do Registro de preços será de 12 (doze meses, contados da assinatura desta ata. As especificações, obrigações, assim como os termos da Proposta Comercial – Anexo I e Termo de Referência Anexo II, integram esta Ata de Registro de Preços, independente de transcrição. O presente compromisso tem seu fundamento e finalidade na consecução do objeto descrito acima, constante</w:t>
            </w:r>
            <w:r>
              <w:rPr>
                <w:rFonts w:eastAsia="Times New Roman" w:cs="Arial" w:ascii="Arial" w:hAnsi="Arial"/>
                <w:b/>
                <w:bCs/>
                <w:color w:val="000000"/>
                <w:kern w:val="0"/>
                <w:sz w:val="18"/>
                <w:szCs w:val="18"/>
                <w:shd w:fill="FFFFFF" w:val="clear"/>
                <w:lang w:val="pt-BR" w:eastAsia="pt-BR" w:bidi="ar-SA"/>
              </w:rPr>
              <w:t xml:space="preserve"> do processo administrativo Nº 5232/2020, reg</w:t>
            </w:r>
            <w:r>
              <w:rPr>
                <w:rFonts w:eastAsia="Times New Roman" w:cs="Arial" w:ascii="Arial" w:hAnsi="Arial"/>
                <w:b/>
                <w:bCs/>
                <w:color w:val="000000"/>
                <w:kern w:val="0"/>
                <w:sz w:val="18"/>
                <w:szCs w:val="18"/>
                <w:lang w:val="pt-BR" w:eastAsia="pt-BR" w:bidi="ar-SA"/>
              </w:rPr>
              <w:t xml:space="preserve">endo-se o mesmo pelas normas da Lei nº 10.520, de 17 de julho de 2002, bem como do Decreto nº 1571 de 12 de setembro de 2013, Decreto 1146 de 15 de maio de 2009, Decreto 1326 de 1 de julho de 2011, Decreto nº 1.338 de 18 de agosto de 2011, Decreto nº 1727 de 16 de março de 2015, Decreto nº 1807 de 28 de março de 2016, aplicando-se subsidiariamente, as normas da Lei nº 8666/93 e pelo Capítulo V, </w:t>
            </w:r>
            <w:r>
              <w:rPr>
                <w:rFonts w:eastAsia="Times New Roman" w:cs="Arial" w:ascii="Arial" w:hAnsi="Arial"/>
                <w:b/>
                <w:bCs/>
                <w:color w:val="000000"/>
                <w:kern w:val="0"/>
                <w:sz w:val="18"/>
                <w:szCs w:val="18"/>
                <w:shd w:fill="FFFFFF" w:val="clear"/>
                <w:lang w:val="pt-BR" w:eastAsia="pt-BR" w:bidi="ar-SA"/>
              </w:rPr>
              <w:t>Seção I</w:t>
            </w:r>
            <w:r>
              <w:rPr>
                <w:rFonts w:eastAsia="Times New Roman" w:cs="Arial" w:ascii="Arial" w:hAnsi="Arial"/>
                <w:b/>
                <w:bCs/>
                <w:color w:val="000000"/>
                <w:kern w:val="0"/>
                <w:sz w:val="18"/>
                <w:szCs w:val="18"/>
                <w:lang w:val="pt-BR" w:eastAsia="pt-BR" w:bidi="ar-SA"/>
              </w:rPr>
              <w:t xml:space="preserve"> da Lei Complementar nº 123, de 14 de dezembro de 2006, Lei complementar 68 de 23 de dezembro de 2009 observadas as alterações posteriores introduzidas nos referidos diplomas legais, além das demais disposições legais aplicáveis e do disposto no Edital.</w:t>
            </w:r>
          </w:p>
          <w:p>
            <w:pPr>
              <w:pStyle w:val="Normal"/>
              <w:widowControl/>
              <w:spacing w:lineRule="auto" w:line="240" w:beforeAutospacing="1" w:after="0"/>
              <w:jc w:val="both"/>
              <w:rPr>
                <w:rFonts w:ascii="Arial" w:hAnsi="Arial" w:eastAsia="Times New Roman" w:cs="Arial"/>
                <w:b/>
                <w:b/>
                <w:bCs/>
                <w:color w:val="000000"/>
                <w:sz w:val="18"/>
                <w:szCs w:val="18"/>
                <w:lang w:eastAsia="pt-BR"/>
              </w:rPr>
            </w:pPr>
            <w:r>
              <w:rPr>
                <w:rFonts w:eastAsia="Times New Roman" w:cs="Arial" w:ascii="Arial" w:hAnsi="Arial"/>
                <w:color w:val="000000"/>
                <w:kern w:val="0"/>
                <w:sz w:val="18"/>
                <w:szCs w:val="18"/>
                <w:lang w:val="pt-BR" w:eastAsia="pt-BR" w:bidi="ar-SA"/>
              </w:rPr>
            </w:r>
          </w:p>
          <w:tbl>
            <w:tblPr>
              <w:tblW w:w="10095" w:type="dxa"/>
              <w:jc w:val="left"/>
              <w:tblInd w:w="0" w:type="dxa"/>
              <w:tblLayout w:type="fixed"/>
              <w:tblCellMar>
                <w:top w:w="0" w:type="dxa"/>
                <w:left w:w="28" w:type="dxa"/>
                <w:bottom w:w="0" w:type="dxa"/>
                <w:right w:w="0" w:type="dxa"/>
              </w:tblCellMar>
              <w:tblLook w:firstRow="1" w:noVBand="1" w:lastRow="0" w:firstColumn="1" w:lastColumn="0" w:noHBand="0" w:val="04a0"/>
            </w:tblPr>
            <w:tblGrid>
              <w:gridCol w:w="523"/>
              <w:gridCol w:w="4412"/>
              <w:gridCol w:w="795"/>
              <w:gridCol w:w="1020"/>
              <w:gridCol w:w="1245"/>
              <w:gridCol w:w="960"/>
              <w:gridCol w:w="1140"/>
            </w:tblGrid>
            <w:tr>
              <w:trPr/>
              <w:tc>
                <w:tcPr>
                  <w:tcW w:w="523"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b/>
                      <w:bCs/>
                      <w:color w:val="000000"/>
                      <w:sz w:val="16"/>
                      <w:szCs w:val="16"/>
                      <w:lang w:eastAsia="pt-BR"/>
                    </w:rPr>
                    <w:t>ITEM</w:t>
                  </w:r>
                </w:p>
              </w:tc>
              <w:tc>
                <w:tcPr>
                  <w:tcW w:w="4412"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b/>
                      <w:bCs/>
                      <w:color w:val="000000"/>
                      <w:sz w:val="16"/>
                      <w:szCs w:val="16"/>
                      <w:lang w:eastAsia="pt-BR"/>
                    </w:rPr>
                    <w:t>DESCRIÇÃO</w:t>
                  </w:r>
                </w:p>
              </w:tc>
              <w:tc>
                <w:tcPr>
                  <w:tcW w:w="795"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b/>
                      <w:bCs/>
                      <w:color w:val="000000"/>
                      <w:sz w:val="16"/>
                      <w:szCs w:val="16"/>
                      <w:lang w:eastAsia="pt-BR"/>
                    </w:rPr>
                    <w:t>UNID</w:t>
                  </w:r>
                </w:p>
              </w:tc>
              <w:tc>
                <w:tcPr>
                  <w:tcW w:w="1020" w:type="dxa"/>
                  <w:tcBorders>
                    <w:top w:val="single" w:sz="6" w:space="0" w:color="000000"/>
                    <w:left w:val="single" w:sz="6" w:space="0" w:color="000000"/>
                    <w:bottom w:val="single" w:sz="6" w:space="0" w:color="000000"/>
                    <w:right w:val="single" w:sz="6" w:space="0" w:color="000000"/>
                  </w:tcBorders>
                  <w:tcMar>
                    <w:right w:w="28" w:type="dxa"/>
                  </w:tcMar>
                  <w:vAlign w:val="center"/>
                </w:tcPr>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b/>
                      <w:bCs/>
                      <w:color w:val="000000"/>
                      <w:sz w:val="16"/>
                      <w:szCs w:val="16"/>
                      <w:lang w:eastAsia="pt-BR"/>
                    </w:rPr>
                    <w:t>QUANT.</w:t>
                  </w:r>
                </w:p>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b/>
                      <w:bCs/>
                      <w:color w:val="000000"/>
                      <w:sz w:val="16"/>
                      <w:szCs w:val="16"/>
                      <w:lang w:eastAsia="pt-BR"/>
                    </w:rPr>
                    <w:t>ESTIMADA</w:t>
                  </w:r>
                </w:p>
              </w:tc>
              <w:tc>
                <w:tcPr>
                  <w:tcW w:w="1245"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b/>
                      <w:bCs/>
                      <w:color w:val="000000"/>
                      <w:sz w:val="16"/>
                      <w:szCs w:val="16"/>
                      <w:lang w:eastAsia="pt-BR"/>
                    </w:rPr>
                    <w:t>MARCA</w:t>
                  </w:r>
                </w:p>
              </w:tc>
              <w:tc>
                <w:tcPr>
                  <w:tcW w:w="960"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b/>
                      <w:bCs/>
                      <w:color w:val="000000"/>
                      <w:sz w:val="16"/>
                      <w:szCs w:val="16"/>
                      <w:lang w:eastAsia="pt-BR"/>
                    </w:rPr>
                    <w:t>V. UNIT</w:t>
                  </w:r>
                </w:p>
              </w:tc>
              <w:tc>
                <w:tcPr>
                  <w:tcW w:w="1140" w:type="dxa"/>
                  <w:tcBorders>
                    <w:top w:val="single" w:sz="6" w:space="0" w:color="000000"/>
                    <w:left w:val="single" w:sz="6" w:space="0" w:color="000000"/>
                    <w:bottom w:val="single" w:sz="6" w:space="0" w:color="000000"/>
                    <w:right w:val="single" w:sz="6" w:space="0" w:color="000000"/>
                  </w:tcBorders>
                  <w:shd w:color="auto" w:fill="FFFFFF" w:val="clear"/>
                  <w:tcMar>
                    <w:right w:w="28" w:type="dxa"/>
                  </w:tcMar>
                  <w:vAlign w:val="cente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b/>
                      <w:bCs/>
                      <w:color w:val="000000"/>
                      <w:sz w:val="16"/>
                      <w:szCs w:val="16"/>
                      <w:lang w:eastAsia="pt-BR"/>
                    </w:rPr>
                    <w:t>V. TOTAL</w:t>
                  </w:r>
                </w:p>
              </w:tc>
            </w:tr>
            <w:tr>
              <w:trPr>
                <w:trHeight w:val="810" w:hRule="atLeast"/>
              </w:trPr>
              <w:tc>
                <w:tcPr>
                  <w:tcW w:w="523"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3</w:t>
                  </w:r>
                </w:p>
              </w:tc>
              <w:tc>
                <w:tcPr>
                  <w:tcW w:w="4412" w:type="dxa"/>
                  <w:tcBorders>
                    <w:left w:val="single" w:sz="6" w:space="0" w:color="000000"/>
                    <w:bottom w:val="single" w:sz="6" w:space="0" w:color="000000"/>
                  </w:tcBorders>
                </w:tcPr>
                <w:p>
                  <w:pPr>
                    <w:pStyle w:val="Normal"/>
                    <w:widowControl w:val="false"/>
                    <w:spacing w:lineRule="auto" w:line="240" w:beforeAutospacing="1" w:after="119"/>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Dieta Enteral nutricionalmente completa, oligomérica, em sistema fechado, hipercalórica (1.5 Kcal/ml), hiperprotéica. Embalagem de 500ml.</w:t>
                  </w:r>
                  <w:r>
                    <w:rPr>
                      <w:rFonts w:eastAsia="Times New Roman" w:cs="Arial" w:ascii="Arial" w:hAnsi="Arial"/>
                      <w:b/>
                      <w:bCs/>
                      <w:color w:val="000000"/>
                      <w:sz w:val="18"/>
                      <w:szCs w:val="18"/>
                      <w:lang w:eastAsia="pt-BR"/>
                    </w:rPr>
                    <w:t xml:space="preserve"> Tipo: Peptamen 1,5 (Nestlé) ou similar.</w:t>
                  </w:r>
                </w:p>
              </w:tc>
              <w:tc>
                <w:tcPr>
                  <w:tcW w:w="795"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BAG</w:t>
                  </w:r>
                </w:p>
              </w:tc>
              <w:tc>
                <w:tcPr>
                  <w:tcW w:w="1020"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24</w:t>
                  </w:r>
                </w:p>
              </w:tc>
              <w:tc>
                <w:tcPr>
                  <w:tcW w:w="1245"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Nestlé</w:t>
                  </w:r>
                </w:p>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Peptamen 1.5 (SF)</w:t>
                  </w:r>
                </w:p>
              </w:tc>
              <w:tc>
                <w:tcPr>
                  <w:tcW w:w="96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R$ 110,00</w:t>
                  </w:r>
                </w:p>
              </w:tc>
              <w:tc>
                <w:tcPr>
                  <w:tcW w:w="1140" w:type="dxa"/>
                  <w:tcBorders>
                    <w:top w:val="single" w:sz="6" w:space="0" w:color="000000"/>
                    <w:left w:val="single" w:sz="6" w:space="0" w:color="000000"/>
                    <w:bottom w:val="single" w:sz="6" w:space="0" w:color="000000"/>
                    <w:right w:val="single" w:sz="6" w:space="0" w:color="000000"/>
                  </w:tcBorders>
                  <w:tcMar>
                    <w:right w:w="28"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R$ 2.640,00</w:t>
                  </w:r>
                </w:p>
              </w:tc>
            </w:tr>
            <w:tr>
              <w:trPr>
                <w:trHeight w:val="1215" w:hRule="atLeast"/>
              </w:trPr>
              <w:tc>
                <w:tcPr>
                  <w:tcW w:w="523"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7</w:t>
                  </w:r>
                </w:p>
              </w:tc>
              <w:tc>
                <w:tcPr>
                  <w:tcW w:w="4412" w:type="dxa"/>
                  <w:tcBorders>
                    <w:left w:val="single" w:sz="6" w:space="0" w:color="000000"/>
                    <w:bottom w:val="single" w:sz="6" w:space="0" w:color="000000"/>
                  </w:tcBorders>
                </w:tcPr>
                <w:p>
                  <w:pPr>
                    <w:pStyle w:val="Normal"/>
                    <w:widowControl w:val="false"/>
                    <w:spacing w:lineRule="auto" w:line="240" w:beforeAutospacing="1" w:after="119"/>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shd w:fill="FFFFFF" w:val="clear"/>
                      <w:lang w:eastAsia="pt-BR"/>
                    </w:rPr>
                    <w:t xml:space="preserve">Dieta Enteral nutricionalmente completa, oligomérica, em sistema fechado, normocalórica (1.0 Kcal/ml), hiperprotéica (com 18% de proteína - sendo 100% de proteína do soro do leite hidrolisada). Acrescida de óleo de peixe. Embalagem de 1000ml. </w:t>
                  </w:r>
                  <w:r>
                    <w:rPr>
                      <w:rFonts w:eastAsia="Times New Roman" w:cs="Arial" w:ascii="Arial" w:hAnsi="Arial"/>
                      <w:b/>
                      <w:bCs/>
                      <w:color w:val="000000"/>
                      <w:sz w:val="18"/>
                      <w:szCs w:val="18"/>
                      <w:shd w:fill="FFFFFF" w:val="clear"/>
                      <w:lang w:eastAsia="pt-BR"/>
                    </w:rPr>
                    <w:t>Tipo: Survimed OPD (Fresenius Kabi) ou similar.</w:t>
                  </w:r>
                </w:p>
              </w:tc>
              <w:tc>
                <w:tcPr>
                  <w:tcW w:w="795"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BAG</w:t>
                  </w:r>
                </w:p>
              </w:tc>
              <w:tc>
                <w:tcPr>
                  <w:tcW w:w="1020"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12</w:t>
                  </w:r>
                </w:p>
              </w:tc>
              <w:tc>
                <w:tcPr>
                  <w:tcW w:w="1245"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Nestlé</w:t>
                  </w:r>
                </w:p>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Peptamen</w:t>
                  </w:r>
                </w:p>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Prébio (SF)</w:t>
                  </w:r>
                </w:p>
              </w:tc>
              <w:tc>
                <w:tcPr>
                  <w:tcW w:w="960" w:type="dxa"/>
                  <w:tcBorders>
                    <w:top w:val="single" w:sz="6" w:space="0" w:color="000000"/>
                    <w:left w:val="single" w:sz="6" w:space="0" w:color="000000"/>
                    <w:bottom w:val="single" w:sz="6" w:space="0" w:color="000000"/>
                  </w:tcBorders>
                  <w:shd w:color="auto" w:fill="FFFFFF" w:val="cle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 xml:space="preserve">R$ 78,00 </w:t>
                  </w:r>
                </w:p>
              </w:tc>
              <w:tc>
                <w:tcPr>
                  <w:tcW w:w="1140" w:type="dxa"/>
                  <w:tcBorders>
                    <w:top w:val="single" w:sz="6" w:space="0" w:color="000000"/>
                    <w:left w:val="single" w:sz="6" w:space="0" w:color="000000"/>
                    <w:bottom w:val="single" w:sz="6" w:space="0" w:color="000000"/>
                    <w:right w:val="single" w:sz="6" w:space="0" w:color="000000"/>
                  </w:tcBorders>
                  <w:tcMar>
                    <w:right w:w="28"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R$ 936,00</w:t>
                  </w:r>
                </w:p>
              </w:tc>
            </w:tr>
            <w:tr>
              <w:trPr>
                <w:trHeight w:val="75" w:hRule="atLeast"/>
              </w:trPr>
              <w:tc>
                <w:tcPr>
                  <w:tcW w:w="523"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13</w:t>
                  </w:r>
                </w:p>
              </w:tc>
              <w:tc>
                <w:tcPr>
                  <w:tcW w:w="4412" w:type="dxa"/>
                  <w:tcBorders>
                    <w:left w:val="single" w:sz="6" w:space="0" w:color="000000"/>
                    <w:bottom w:val="single" w:sz="6" w:space="0" w:color="000000"/>
                  </w:tcBorders>
                </w:tcPr>
                <w:p>
                  <w:pPr>
                    <w:pStyle w:val="Normal"/>
                    <w:widowControl w:val="false"/>
                    <w:spacing w:lineRule="auto" w:line="240" w:beforeAutospacing="1" w:after="119"/>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 xml:space="preserve">Dieta enteral sistema fechado. Fórmula enteral hiperproteica, com arginina com alto teor de zinco, selênio, vitaminas A, E e C. Sem adição de sacarose. Pacientes com problemas de cicatrização no geral como lesões por pressão, lesões crônicas, pé diabético etc. Embalagem em </w:t>
                  </w:r>
                  <w:r>
                    <w:rPr>
                      <w:rFonts w:eastAsia="Times New Roman" w:cs="Arial" w:ascii="Arial" w:hAnsi="Arial"/>
                      <w:b/>
                      <w:bCs/>
                      <w:color w:val="000000"/>
                      <w:sz w:val="18"/>
                      <w:szCs w:val="18"/>
                      <w:lang w:eastAsia="pt-BR"/>
                    </w:rPr>
                    <w:t>1000 mL. Tipo: NS Proline (Nestlè), Cubison (Danone Support), Impact (Nestlé) ou similar.</w:t>
                  </w:r>
                </w:p>
              </w:tc>
              <w:tc>
                <w:tcPr>
                  <w:tcW w:w="795"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BAG</w:t>
                  </w:r>
                </w:p>
              </w:tc>
              <w:tc>
                <w:tcPr>
                  <w:tcW w:w="1020"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60</w:t>
                  </w:r>
                </w:p>
              </w:tc>
              <w:tc>
                <w:tcPr>
                  <w:tcW w:w="1245"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Nestlé</w:t>
                  </w:r>
                </w:p>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 xml:space="preserve">Novassource </w:t>
                  </w:r>
                </w:p>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Proline (SF)</w:t>
                  </w:r>
                </w:p>
              </w:tc>
              <w:tc>
                <w:tcPr>
                  <w:tcW w:w="96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R$ 65,00</w:t>
                  </w:r>
                </w:p>
              </w:tc>
              <w:tc>
                <w:tcPr>
                  <w:tcW w:w="1140" w:type="dxa"/>
                  <w:tcBorders>
                    <w:top w:val="single" w:sz="6" w:space="0" w:color="000000"/>
                    <w:left w:val="single" w:sz="6" w:space="0" w:color="000000"/>
                    <w:bottom w:val="single" w:sz="6" w:space="0" w:color="000000"/>
                    <w:right w:val="single" w:sz="6" w:space="0" w:color="000000"/>
                  </w:tcBorders>
                  <w:shd w:color="auto" w:fill="FFFFFF" w:val="clear"/>
                  <w:tcMar>
                    <w:right w:w="28"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R$ 3.900,00</w:t>
                  </w:r>
                </w:p>
              </w:tc>
            </w:tr>
            <w:tr>
              <w:trPr>
                <w:trHeight w:val="1080" w:hRule="atLeast"/>
              </w:trPr>
              <w:tc>
                <w:tcPr>
                  <w:tcW w:w="523"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14</w:t>
                  </w:r>
                </w:p>
              </w:tc>
              <w:tc>
                <w:tcPr>
                  <w:tcW w:w="4412" w:type="dxa"/>
                  <w:tcBorders>
                    <w:left w:val="single" w:sz="6" w:space="0" w:color="000000"/>
                    <w:bottom w:val="single" w:sz="6" w:space="0" w:color="000000"/>
                  </w:tcBorders>
                </w:tcPr>
                <w:p>
                  <w:pPr>
                    <w:pStyle w:val="Normal"/>
                    <w:widowControl w:val="false"/>
                    <w:spacing w:lineRule="auto" w:line="240" w:beforeAutospacing="1" w:after="119"/>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Suplemento Nutricional polimérico, hipercalórico e hiperproteica (27% de proteína - sendo 20% de proteína do soro do leite), em embalagem pronta para uso de até 200ml</w:t>
                  </w:r>
                  <w:r>
                    <w:rPr>
                      <w:rFonts w:eastAsia="Times New Roman" w:cs="Arial" w:ascii="Arial" w:hAnsi="Arial"/>
                      <w:b/>
                      <w:bCs/>
                      <w:color w:val="000000"/>
                      <w:sz w:val="18"/>
                      <w:szCs w:val="18"/>
                      <w:lang w:eastAsia="pt-BR"/>
                    </w:rPr>
                    <w:t>. Tipo: Fresubin Protein Energy (Fresenius Kabi) ou similar.</w:t>
                  </w:r>
                </w:p>
              </w:tc>
              <w:tc>
                <w:tcPr>
                  <w:tcW w:w="795"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Unid.</w:t>
                  </w:r>
                </w:p>
              </w:tc>
              <w:tc>
                <w:tcPr>
                  <w:tcW w:w="1020"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240</w:t>
                  </w:r>
                </w:p>
              </w:tc>
              <w:tc>
                <w:tcPr>
                  <w:tcW w:w="1245"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 xml:space="preserve">Nestlé </w:t>
                  </w:r>
                </w:p>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Impact</w:t>
                  </w:r>
                </w:p>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(200ml)</w:t>
                  </w:r>
                </w:p>
              </w:tc>
              <w:tc>
                <w:tcPr>
                  <w:tcW w:w="96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R$ 14,50</w:t>
                  </w:r>
                </w:p>
              </w:tc>
              <w:tc>
                <w:tcPr>
                  <w:tcW w:w="1140" w:type="dxa"/>
                  <w:tcBorders>
                    <w:top w:val="single" w:sz="6" w:space="0" w:color="000000"/>
                    <w:left w:val="single" w:sz="6" w:space="0" w:color="000000"/>
                    <w:bottom w:val="single" w:sz="6" w:space="0" w:color="000000"/>
                    <w:right w:val="single" w:sz="6" w:space="0" w:color="000000"/>
                  </w:tcBorders>
                  <w:tcMar>
                    <w:right w:w="28"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R$ 3.480,00</w:t>
                  </w:r>
                </w:p>
              </w:tc>
            </w:tr>
            <w:tr>
              <w:trPr>
                <w:trHeight w:val="1710" w:hRule="atLeast"/>
              </w:trPr>
              <w:tc>
                <w:tcPr>
                  <w:tcW w:w="523"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15</w:t>
                  </w:r>
                </w:p>
              </w:tc>
              <w:tc>
                <w:tcPr>
                  <w:tcW w:w="4412"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Suplemento alimentar hipercalórico (400Kcal) e hiperproteica (20g), enriquecido com vitaminas e minerais. O suplemento é comercializado em embalagens prontas para uso, de 200ml</w:t>
                  </w:r>
                  <w:r>
                    <w:rPr>
                      <w:rFonts w:eastAsia="Times New Roman" w:cs="Arial" w:ascii="Arial" w:hAnsi="Arial"/>
                      <w:color w:val="000000"/>
                      <w:sz w:val="18"/>
                      <w:szCs w:val="18"/>
                      <w:u w:val="single"/>
                      <w:lang w:eastAsia="pt-BR"/>
                    </w:rPr>
                    <w:t>,</w:t>
                  </w:r>
                  <w:r>
                    <w:rPr>
                      <w:rFonts w:eastAsia="Times New Roman" w:cs="Arial" w:ascii="Arial" w:hAnsi="Arial"/>
                      <w:color w:val="000000"/>
                      <w:sz w:val="18"/>
                      <w:szCs w:val="18"/>
                      <w:lang w:eastAsia="pt-BR"/>
                    </w:rPr>
                    <w:t xml:space="preserve"> nos sabores baunilha e frutas da floresta. Produto isento de fibras. Contém sacarose.</w:t>
                  </w:r>
                  <w:r>
                    <w:rPr>
                      <w:rFonts w:eastAsia="Times New Roman" w:cs="Arial" w:ascii="Arial" w:hAnsi="Arial"/>
                      <w:b/>
                      <w:bCs/>
                      <w:color w:val="000000"/>
                      <w:sz w:val="18"/>
                      <w:szCs w:val="18"/>
                      <w:lang w:eastAsia="pt-BR"/>
                    </w:rPr>
                    <w:t xml:space="preserve"> Tipo: Fresubin 2 kcal (Fresenius) ou similar</w:t>
                  </w:r>
                </w:p>
              </w:tc>
              <w:tc>
                <w:tcPr>
                  <w:tcW w:w="795"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Unid.</w:t>
                  </w:r>
                </w:p>
              </w:tc>
              <w:tc>
                <w:tcPr>
                  <w:tcW w:w="1020"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240</w:t>
                  </w:r>
                </w:p>
              </w:tc>
              <w:tc>
                <w:tcPr>
                  <w:tcW w:w="1245"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Nestlé</w:t>
                  </w:r>
                </w:p>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Nutren 2.0</w:t>
                  </w:r>
                </w:p>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200ml</w:t>
                  </w:r>
                </w:p>
              </w:tc>
              <w:tc>
                <w:tcPr>
                  <w:tcW w:w="96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R$13,50</w:t>
                  </w:r>
                </w:p>
              </w:tc>
              <w:tc>
                <w:tcPr>
                  <w:tcW w:w="1140" w:type="dxa"/>
                  <w:tcBorders>
                    <w:top w:val="single" w:sz="6" w:space="0" w:color="000000"/>
                    <w:left w:val="single" w:sz="6" w:space="0" w:color="000000"/>
                    <w:bottom w:val="single" w:sz="6" w:space="0" w:color="000000"/>
                    <w:right w:val="single" w:sz="6" w:space="0" w:color="000000"/>
                  </w:tcBorders>
                  <w:shd w:color="auto" w:fill="FFFFFF" w:val="clear"/>
                  <w:tcMar>
                    <w:right w:w="28"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R$ 3.240,00</w:t>
                  </w:r>
                </w:p>
              </w:tc>
            </w:tr>
            <w:tr>
              <w:trPr>
                <w:trHeight w:val="1365" w:hRule="atLeast"/>
              </w:trPr>
              <w:tc>
                <w:tcPr>
                  <w:tcW w:w="523"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16</w:t>
                  </w:r>
                </w:p>
              </w:tc>
              <w:tc>
                <w:tcPr>
                  <w:tcW w:w="4412" w:type="dxa"/>
                  <w:tcBorders>
                    <w:left w:val="single" w:sz="6" w:space="0" w:color="000000"/>
                    <w:bottom w:val="single" w:sz="6" w:space="0" w:color="000000"/>
                  </w:tcBorders>
                </w:tcPr>
                <w:p>
                  <w:pPr>
                    <w:pStyle w:val="Normal"/>
                    <w:widowControl w:val="false"/>
                    <w:spacing w:lineRule="auto" w:line="240" w:beforeAutospacing="1" w:after="119"/>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 xml:space="preserve">Complemento nutricional desenvolvido pensando nas necessidades de quem já passou dos 50 anos. Contém ACT-3, combinação única de cálcio, proteína e vitamina D, além de fornecer outras vitaminas e minerais. </w:t>
                  </w:r>
                  <w:r>
                    <w:rPr>
                      <w:rFonts w:eastAsia="Times New Roman" w:cs="Arial" w:ascii="Arial" w:hAnsi="Arial"/>
                      <w:b/>
                      <w:bCs/>
                      <w:color w:val="000000"/>
                      <w:sz w:val="18"/>
                      <w:szCs w:val="18"/>
                      <w:lang w:eastAsia="pt-BR"/>
                    </w:rPr>
                    <w:t xml:space="preserve">NÃO CONTÉM GLÚTEN. </w:t>
                  </w:r>
                  <w:r>
                    <w:rPr>
                      <w:rFonts w:eastAsia="Times New Roman" w:cs="Arial" w:ascii="Arial" w:hAnsi="Arial"/>
                      <w:color w:val="000000"/>
                      <w:sz w:val="18"/>
                      <w:szCs w:val="18"/>
                      <w:lang w:eastAsia="pt-BR"/>
                    </w:rPr>
                    <w:t>Embalagem: lata de 370g</w:t>
                  </w:r>
                  <w:r>
                    <w:rPr>
                      <w:rFonts w:eastAsia="Times New Roman" w:cs="Arial" w:ascii="Arial" w:hAnsi="Arial"/>
                      <w:color w:val="000000"/>
                      <w:sz w:val="18"/>
                      <w:szCs w:val="18"/>
                      <w:u w:val="single"/>
                      <w:lang w:eastAsia="pt-BR"/>
                    </w:rPr>
                    <w:t xml:space="preserve"> </w:t>
                  </w:r>
                  <w:r>
                    <w:rPr>
                      <w:rFonts w:eastAsia="Times New Roman" w:cs="Arial" w:ascii="Arial" w:hAnsi="Arial"/>
                      <w:color w:val="000000"/>
                      <w:sz w:val="18"/>
                      <w:szCs w:val="18"/>
                      <w:lang w:eastAsia="pt-BR"/>
                    </w:rPr>
                    <w:t xml:space="preserve">no mínimo. </w:t>
                  </w:r>
                  <w:r>
                    <w:rPr>
                      <w:rFonts w:eastAsia="Times New Roman" w:cs="Arial" w:ascii="Arial" w:hAnsi="Arial"/>
                      <w:b/>
                      <w:bCs/>
                      <w:color w:val="000000"/>
                      <w:sz w:val="18"/>
                      <w:szCs w:val="18"/>
                      <w:lang w:eastAsia="pt-BR"/>
                    </w:rPr>
                    <w:t>Tipo: Nutren Senior (Nestlé) ou similar</w:t>
                  </w:r>
                </w:p>
              </w:tc>
              <w:tc>
                <w:tcPr>
                  <w:tcW w:w="795"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Lata</w:t>
                  </w:r>
                </w:p>
              </w:tc>
              <w:tc>
                <w:tcPr>
                  <w:tcW w:w="1020"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96</w:t>
                  </w:r>
                </w:p>
              </w:tc>
              <w:tc>
                <w:tcPr>
                  <w:tcW w:w="1245"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Nestlé</w:t>
                  </w:r>
                </w:p>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Nutren</w:t>
                  </w:r>
                </w:p>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Sênior 370g</w:t>
                  </w:r>
                </w:p>
              </w:tc>
              <w:tc>
                <w:tcPr>
                  <w:tcW w:w="96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R$ 42,30</w:t>
                  </w:r>
                </w:p>
              </w:tc>
              <w:tc>
                <w:tcPr>
                  <w:tcW w:w="1140" w:type="dxa"/>
                  <w:tcBorders>
                    <w:top w:val="single" w:sz="6" w:space="0" w:color="000000"/>
                    <w:left w:val="single" w:sz="6" w:space="0" w:color="000000"/>
                    <w:bottom w:val="single" w:sz="6" w:space="0" w:color="000000"/>
                    <w:right w:val="single" w:sz="6" w:space="0" w:color="000000"/>
                  </w:tcBorders>
                  <w:shd w:color="auto" w:fill="FFFFFF" w:val="clear"/>
                  <w:tcMar>
                    <w:right w:w="28"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R$ 4.060,80</w:t>
                  </w:r>
                </w:p>
              </w:tc>
            </w:tr>
            <w:tr>
              <w:trPr>
                <w:trHeight w:val="1275" w:hRule="atLeast"/>
              </w:trPr>
              <w:tc>
                <w:tcPr>
                  <w:tcW w:w="523"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19</w:t>
                  </w:r>
                </w:p>
              </w:tc>
              <w:tc>
                <w:tcPr>
                  <w:tcW w:w="4412"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Nutrição oral especialmente formulada para manejo de diabetes e situações de hiperglicemia. Normocalórico, com baixo índice glicêmico. Isento de sacarose. Embalagem pronta para uso de 200</w:t>
                  </w:r>
                  <w:r>
                    <w:rPr>
                      <w:rFonts w:eastAsia="Times New Roman" w:cs="Arial" w:ascii="Arial" w:hAnsi="Arial"/>
                      <w:color w:val="000000"/>
                      <w:sz w:val="18"/>
                      <w:szCs w:val="18"/>
                      <w:u w:val="single"/>
                      <w:lang w:eastAsia="pt-BR"/>
                    </w:rPr>
                    <w:t xml:space="preserve"> </w:t>
                  </w:r>
                  <w:r>
                    <w:rPr>
                      <w:rFonts w:eastAsia="Times New Roman" w:cs="Arial" w:ascii="Arial" w:hAnsi="Arial"/>
                      <w:color w:val="000000"/>
                      <w:sz w:val="18"/>
                      <w:szCs w:val="18"/>
                      <w:lang w:eastAsia="pt-BR"/>
                    </w:rPr>
                    <w:t>ml. Sabores: baunilha e morango.</w:t>
                  </w:r>
                  <w:r>
                    <w:rPr>
                      <w:rFonts w:eastAsia="Times New Roman" w:cs="Arial" w:ascii="Arial" w:hAnsi="Arial"/>
                      <w:b/>
                      <w:bCs/>
                      <w:color w:val="000000"/>
                      <w:sz w:val="18"/>
                      <w:szCs w:val="18"/>
                      <w:lang w:eastAsia="pt-BR"/>
                    </w:rPr>
                    <w:t xml:space="preserve"> Tipo: Diasip (Danone Support), Novasource GC (Nestlé) ou similar</w:t>
                  </w:r>
                </w:p>
              </w:tc>
              <w:tc>
                <w:tcPr>
                  <w:tcW w:w="795"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Unid.</w:t>
                  </w:r>
                </w:p>
              </w:tc>
              <w:tc>
                <w:tcPr>
                  <w:tcW w:w="1020"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180</w:t>
                  </w:r>
                </w:p>
              </w:tc>
              <w:tc>
                <w:tcPr>
                  <w:tcW w:w="1245"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Nestlé</w:t>
                  </w:r>
                </w:p>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Novassource</w:t>
                  </w:r>
                </w:p>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GC 200ml</w:t>
                  </w:r>
                </w:p>
              </w:tc>
              <w:tc>
                <w:tcPr>
                  <w:tcW w:w="96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R$8,90</w:t>
                  </w:r>
                </w:p>
              </w:tc>
              <w:tc>
                <w:tcPr>
                  <w:tcW w:w="1140" w:type="dxa"/>
                  <w:tcBorders>
                    <w:top w:val="single" w:sz="6" w:space="0" w:color="000000"/>
                    <w:left w:val="single" w:sz="6" w:space="0" w:color="000000"/>
                    <w:bottom w:val="single" w:sz="6" w:space="0" w:color="000000"/>
                    <w:right w:val="single" w:sz="6" w:space="0" w:color="000000"/>
                  </w:tcBorders>
                  <w:shd w:color="auto" w:fill="FFFFFF" w:val="clear"/>
                  <w:tcMar>
                    <w:right w:w="28"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R$ 1.602,00</w:t>
                  </w:r>
                </w:p>
              </w:tc>
            </w:tr>
            <w:tr>
              <w:trPr>
                <w:trHeight w:val="1365" w:hRule="atLeast"/>
              </w:trPr>
              <w:tc>
                <w:tcPr>
                  <w:tcW w:w="523"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22</w:t>
                  </w:r>
                </w:p>
              </w:tc>
              <w:tc>
                <w:tcPr>
                  <w:tcW w:w="4412" w:type="dxa"/>
                  <w:tcBorders>
                    <w:left w:val="single" w:sz="6" w:space="0" w:color="000000"/>
                    <w:bottom w:val="single" w:sz="6" w:space="0" w:color="000000"/>
                  </w:tcBorders>
                </w:tcPr>
                <w:p>
                  <w:pPr>
                    <w:pStyle w:val="Normal"/>
                    <w:widowControl w:val="false"/>
                    <w:spacing w:lineRule="auto" w:line="240" w:beforeAutospacing="1" w:after="119"/>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 xml:space="preserve">Fórmula alimentar hipercalórica e hiperproteica (7,4 g em 100 ml), destinada à alimentação oral ou enteral de pacientes renais agudos ou crônicos em tratamento dialítico que necessitam de maior aporte calórico-proteico e possuem restrição do volume que podem ingerir. Embalagem: 200 ml. Tipo: </w:t>
                  </w:r>
                  <w:r>
                    <w:rPr>
                      <w:rFonts w:eastAsia="Times New Roman" w:cs="Arial" w:ascii="Arial" w:hAnsi="Arial"/>
                      <w:b/>
                      <w:bCs/>
                      <w:color w:val="000000"/>
                      <w:sz w:val="18"/>
                      <w:szCs w:val="18"/>
                      <w:lang w:eastAsia="pt-BR"/>
                    </w:rPr>
                    <w:t>Novasource Renal (Nestlé) ou similar</w:t>
                  </w:r>
                </w:p>
              </w:tc>
              <w:tc>
                <w:tcPr>
                  <w:tcW w:w="795"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Unid.</w:t>
                  </w:r>
                </w:p>
              </w:tc>
              <w:tc>
                <w:tcPr>
                  <w:tcW w:w="1020"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120</w:t>
                  </w:r>
                </w:p>
              </w:tc>
              <w:tc>
                <w:tcPr>
                  <w:tcW w:w="1245"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Nestlé</w:t>
                  </w:r>
                </w:p>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Novasource</w:t>
                  </w:r>
                </w:p>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REN 200ml</w:t>
                  </w:r>
                </w:p>
              </w:tc>
              <w:tc>
                <w:tcPr>
                  <w:tcW w:w="96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R$ 11,50</w:t>
                  </w:r>
                </w:p>
              </w:tc>
              <w:tc>
                <w:tcPr>
                  <w:tcW w:w="1140" w:type="dxa"/>
                  <w:tcBorders>
                    <w:top w:val="single" w:sz="6" w:space="0" w:color="000000"/>
                    <w:left w:val="single" w:sz="6" w:space="0" w:color="000000"/>
                    <w:bottom w:val="single" w:sz="6" w:space="0" w:color="000000"/>
                    <w:right w:val="single" w:sz="6" w:space="0" w:color="000000"/>
                  </w:tcBorders>
                  <w:tcMar>
                    <w:right w:w="28"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R$ 1.380,00</w:t>
                  </w:r>
                </w:p>
              </w:tc>
            </w:tr>
            <w:tr>
              <w:trPr>
                <w:trHeight w:val="2430" w:hRule="atLeast"/>
              </w:trPr>
              <w:tc>
                <w:tcPr>
                  <w:tcW w:w="523"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23</w:t>
                  </w:r>
                </w:p>
              </w:tc>
              <w:tc>
                <w:tcPr>
                  <w:tcW w:w="4412" w:type="dxa"/>
                  <w:tcBorders>
                    <w:left w:val="single" w:sz="6" w:space="0" w:color="000000"/>
                    <w:bottom w:val="single" w:sz="6" w:space="0" w:color="000000"/>
                  </w:tcBorders>
                </w:tcPr>
                <w:p>
                  <w:pPr>
                    <w:pStyle w:val="Normal"/>
                    <w:widowControl w:val="false"/>
                    <w:spacing w:lineRule="auto" w:line="240" w:beforeAutospacing="1" w:after="119"/>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 xml:space="preserve">Espessante, gelificante, não altera cor e sabor, disfagia, engasgos, dificuldade de engolir, dificuldade de deglutir, idosos, engrossar alimentos. Espessante e gelificante para alimento. Não altera o sabor, cheiro e a cor do alimento quando utilizado, além de não formar grumos. Utilizado em alimentos quentes ou frio. Indicação: Utilizar para espessar e gelificar alimentos em caso de disfagia ou dificuldades para deglutição. Características técnicas: Carboidratos: 100% Maltodextrina. Sabores: Sem sabor. Apresentação: Caixa com 24 sachês com 1,2g </w:t>
                  </w:r>
                  <w:r>
                    <w:rPr>
                      <w:rFonts w:eastAsia="Times New Roman" w:cs="Arial" w:ascii="Arial" w:hAnsi="Arial"/>
                      <w:b/>
                      <w:bCs/>
                      <w:color w:val="000000"/>
                      <w:sz w:val="18"/>
                      <w:szCs w:val="18"/>
                      <w:lang w:eastAsia="pt-BR"/>
                    </w:rPr>
                    <w:t>Tipo: Resource Ticken Up Clear Sachê (Nestlé) ou similar.</w:t>
                  </w:r>
                </w:p>
              </w:tc>
              <w:tc>
                <w:tcPr>
                  <w:tcW w:w="795"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Cx</w:t>
                  </w:r>
                </w:p>
              </w:tc>
              <w:tc>
                <w:tcPr>
                  <w:tcW w:w="1020"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12</w:t>
                  </w:r>
                </w:p>
              </w:tc>
              <w:tc>
                <w:tcPr>
                  <w:tcW w:w="1245" w:type="dxa"/>
                  <w:tcBorders>
                    <w:top w:val="single" w:sz="6" w:space="0" w:color="000000"/>
                    <w:left w:val="single" w:sz="6" w:space="0" w:color="000000"/>
                    <w:bottom w:val="single" w:sz="6" w:space="0" w:color="000000"/>
                  </w:tcBorders>
                  <w:shd w:color="auto" w:fill="FFFFFF" w:val="clear"/>
                </w:tcPr>
                <w:p>
                  <w:pPr>
                    <w:pStyle w:val="Normal"/>
                    <w:widowControl w:val="false"/>
                    <w:spacing w:lineRule="auto" w:line="240" w:beforeAutospacing="1" w:after="0"/>
                    <w:jc w:val="center"/>
                    <w:rPr>
                      <w:rFonts w:ascii="Times New Roman" w:hAnsi="Times New Roman" w:eastAsia="Times New Roman" w:cs="Times New Roman"/>
                      <w:color w:val="000000"/>
                      <w:sz w:val="24"/>
                      <w:szCs w:val="24"/>
                      <w:lang w:val="en-US" w:eastAsia="pt-BR"/>
                    </w:rPr>
                  </w:pPr>
                  <w:r>
                    <w:rPr>
                      <w:rFonts w:eastAsia="Times New Roman" w:cs="Arial" w:ascii="Arial" w:hAnsi="Arial"/>
                      <w:color w:val="000000"/>
                      <w:sz w:val="18"/>
                      <w:szCs w:val="18"/>
                      <w:lang w:val="en-US" w:eastAsia="pt-BR"/>
                    </w:rPr>
                    <w:t>Nestlé</w:t>
                  </w:r>
                </w:p>
                <w:p>
                  <w:pPr>
                    <w:pStyle w:val="Normal"/>
                    <w:widowControl w:val="false"/>
                    <w:spacing w:lineRule="auto" w:line="240" w:beforeAutospacing="1" w:after="0"/>
                    <w:jc w:val="center"/>
                    <w:rPr>
                      <w:rFonts w:ascii="Times New Roman" w:hAnsi="Times New Roman" w:eastAsia="Times New Roman" w:cs="Times New Roman"/>
                      <w:color w:val="000000"/>
                      <w:sz w:val="24"/>
                      <w:szCs w:val="24"/>
                      <w:lang w:val="en-US" w:eastAsia="pt-BR"/>
                    </w:rPr>
                  </w:pPr>
                  <w:r>
                    <w:rPr>
                      <w:rFonts w:eastAsia="Times New Roman" w:cs="Arial" w:ascii="Arial" w:hAnsi="Arial"/>
                      <w:color w:val="000000"/>
                      <w:sz w:val="18"/>
                      <w:szCs w:val="18"/>
                      <w:lang w:val="en-US" w:eastAsia="pt-BR"/>
                    </w:rPr>
                    <w:t>Resource</w:t>
                  </w:r>
                </w:p>
                <w:p>
                  <w:pPr>
                    <w:pStyle w:val="Normal"/>
                    <w:widowControl w:val="false"/>
                    <w:spacing w:lineRule="auto" w:line="240" w:beforeAutospacing="1" w:after="0"/>
                    <w:jc w:val="center"/>
                    <w:rPr>
                      <w:rFonts w:ascii="Times New Roman" w:hAnsi="Times New Roman" w:eastAsia="Times New Roman" w:cs="Times New Roman"/>
                      <w:color w:val="000000"/>
                      <w:sz w:val="24"/>
                      <w:szCs w:val="24"/>
                      <w:lang w:val="en-US" w:eastAsia="pt-BR"/>
                    </w:rPr>
                  </w:pPr>
                  <w:r>
                    <w:rPr>
                      <w:rFonts w:eastAsia="Times New Roman" w:cs="Arial" w:ascii="Arial" w:hAnsi="Arial"/>
                      <w:color w:val="000000"/>
                      <w:sz w:val="18"/>
                      <w:szCs w:val="18"/>
                      <w:lang w:val="en-US" w:eastAsia="pt-BR"/>
                    </w:rPr>
                    <w:t>Thicken Up</w:t>
                  </w:r>
                </w:p>
                <w:p>
                  <w:pPr>
                    <w:pStyle w:val="Normal"/>
                    <w:widowControl w:val="false"/>
                    <w:spacing w:lineRule="auto" w:line="240" w:beforeAutospacing="1" w:after="119"/>
                    <w:jc w:val="center"/>
                    <w:rPr>
                      <w:rFonts w:ascii="Times New Roman" w:hAnsi="Times New Roman" w:eastAsia="Times New Roman" w:cs="Times New Roman"/>
                      <w:color w:val="000000"/>
                      <w:sz w:val="24"/>
                      <w:szCs w:val="24"/>
                      <w:lang w:val="en-US" w:eastAsia="pt-BR"/>
                    </w:rPr>
                  </w:pPr>
                  <w:r>
                    <w:rPr>
                      <w:rFonts w:eastAsia="Times New Roman" w:cs="Arial" w:ascii="Arial" w:hAnsi="Arial"/>
                      <w:color w:val="000000"/>
                      <w:sz w:val="18"/>
                      <w:szCs w:val="18"/>
                      <w:lang w:val="en-US" w:eastAsia="pt-BR"/>
                    </w:rPr>
                    <w:t>Clear sachê</w:t>
                  </w:r>
                </w:p>
              </w:tc>
              <w:tc>
                <w:tcPr>
                  <w:tcW w:w="96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R$59,90</w:t>
                  </w:r>
                </w:p>
              </w:tc>
              <w:tc>
                <w:tcPr>
                  <w:tcW w:w="1140" w:type="dxa"/>
                  <w:tcBorders>
                    <w:top w:val="single" w:sz="6" w:space="0" w:color="000000"/>
                    <w:left w:val="single" w:sz="6" w:space="0" w:color="000000"/>
                    <w:bottom w:val="single" w:sz="6" w:space="0" w:color="000000"/>
                    <w:right w:val="single" w:sz="6" w:space="0" w:color="000000"/>
                  </w:tcBorders>
                  <w:shd w:color="auto" w:fill="FFFFFF" w:val="clear"/>
                  <w:tcMar>
                    <w:right w:w="28"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R$ 718,80</w:t>
                  </w:r>
                </w:p>
              </w:tc>
            </w:tr>
            <w:tr>
              <w:trPr>
                <w:trHeight w:val="2460" w:hRule="atLeast"/>
              </w:trPr>
              <w:tc>
                <w:tcPr>
                  <w:tcW w:w="523"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26</w:t>
                  </w:r>
                </w:p>
              </w:tc>
              <w:tc>
                <w:tcPr>
                  <w:tcW w:w="4412" w:type="dxa"/>
                  <w:tcBorders>
                    <w:left w:val="single" w:sz="6" w:space="0" w:color="000000"/>
                    <w:bottom w:val="single" w:sz="6" w:space="0" w:color="000000"/>
                  </w:tcBorders>
                </w:tcPr>
                <w:p>
                  <w:pPr>
                    <w:pStyle w:val="Normal"/>
                    <w:widowControl w:val="false"/>
                    <w:spacing w:lineRule="auto" w:line="240" w:beforeAutospacing="1" w:after="119"/>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 xml:space="preserve">Instantâneo elaborado exclusivamente com proteína isolada do soro do leite. Não contém açúcares, conservantes, corantes, edulcorantes e glúten, com altíssimo valor biológico e presença de bioativos (glicomacropeptídeos, imunoglobulinas e lactoferrina), baixíssimos níveis de carboidrato e sódio, assim como alto teor de BCAA (valina, leucina e isoleucina) e ácido glutâmico, sendo livre do hormônio rbST (somatotropina bovina recombinante) e livre de qualquer substância geneticamente modificada. Embalagem: caixa com 30 sachês de no mínimo 15g </w:t>
                  </w:r>
                  <w:r>
                    <w:rPr>
                      <w:rFonts w:eastAsia="Times New Roman" w:cs="Arial" w:ascii="Arial" w:hAnsi="Arial"/>
                      <w:b/>
                      <w:bCs/>
                      <w:color w:val="000000"/>
                      <w:sz w:val="18"/>
                      <w:szCs w:val="18"/>
                      <w:lang w:eastAsia="pt-BR"/>
                    </w:rPr>
                    <w:t>Tipo: Clean Whey Isolate Pocket ou similar.</w:t>
                  </w:r>
                </w:p>
              </w:tc>
              <w:tc>
                <w:tcPr>
                  <w:tcW w:w="795"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Sachê</w:t>
                  </w:r>
                </w:p>
              </w:tc>
              <w:tc>
                <w:tcPr>
                  <w:tcW w:w="1020"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12</w:t>
                  </w:r>
                </w:p>
              </w:tc>
              <w:tc>
                <w:tcPr>
                  <w:tcW w:w="1245"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jc w:val="center"/>
                    <w:rPr>
                      <w:rFonts w:ascii="Times New Roman" w:hAnsi="Times New Roman" w:eastAsia="Times New Roman" w:cs="Times New Roman"/>
                      <w:color w:val="000000"/>
                      <w:sz w:val="24"/>
                      <w:szCs w:val="24"/>
                      <w:lang w:val="en-US" w:eastAsia="pt-BR"/>
                    </w:rPr>
                  </w:pPr>
                  <w:r>
                    <w:rPr>
                      <w:rFonts w:eastAsia="Times New Roman" w:cs="Arial" w:ascii="Arial" w:hAnsi="Arial"/>
                      <w:color w:val="000000"/>
                      <w:sz w:val="18"/>
                      <w:szCs w:val="18"/>
                      <w:lang w:val="en-US" w:eastAsia="pt-BR"/>
                    </w:rPr>
                    <w:t>Nestlé</w:t>
                  </w:r>
                </w:p>
                <w:p>
                  <w:pPr>
                    <w:pStyle w:val="Normal"/>
                    <w:widowControl w:val="false"/>
                    <w:spacing w:lineRule="auto" w:line="240" w:beforeAutospacing="1" w:after="0"/>
                    <w:jc w:val="center"/>
                    <w:rPr>
                      <w:rFonts w:ascii="Times New Roman" w:hAnsi="Times New Roman" w:eastAsia="Times New Roman" w:cs="Times New Roman"/>
                      <w:color w:val="000000"/>
                      <w:sz w:val="24"/>
                      <w:szCs w:val="24"/>
                      <w:lang w:val="en-US" w:eastAsia="pt-BR"/>
                    </w:rPr>
                  </w:pPr>
                  <w:r>
                    <w:rPr>
                      <w:rFonts w:eastAsia="Times New Roman" w:cs="Arial" w:ascii="Arial" w:hAnsi="Arial"/>
                      <w:color w:val="000000"/>
                      <w:sz w:val="18"/>
                      <w:szCs w:val="18"/>
                      <w:lang w:val="en-US" w:eastAsia="pt-BR"/>
                    </w:rPr>
                    <w:t>Nutren Just</w:t>
                  </w:r>
                </w:p>
                <w:p>
                  <w:pPr>
                    <w:pStyle w:val="Normal"/>
                    <w:widowControl w:val="false"/>
                    <w:spacing w:lineRule="auto" w:line="240" w:beforeAutospacing="1" w:after="0"/>
                    <w:jc w:val="center"/>
                    <w:rPr>
                      <w:rFonts w:ascii="Times New Roman" w:hAnsi="Times New Roman" w:eastAsia="Times New Roman" w:cs="Times New Roman"/>
                      <w:color w:val="000000"/>
                      <w:sz w:val="24"/>
                      <w:szCs w:val="24"/>
                      <w:lang w:val="en-US" w:eastAsia="pt-BR"/>
                    </w:rPr>
                  </w:pPr>
                  <w:r>
                    <w:rPr>
                      <w:rFonts w:eastAsia="Times New Roman" w:cs="Arial" w:ascii="Arial" w:hAnsi="Arial"/>
                      <w:color w:val="000000"/>
                      <w:sz w:val="18"/>
                      <w:szCs w:val="18"/>
                      <w:lang w:val="en-US" w:eastAsia="pt-BR"/>
                    </w:rPr>
                    <w:t xml:space="preserve">Protein </w:t>
                  </w:r>
                </w:p>
                <w:p>
                  <w:pPr>
                    <w:pStyle w:val="Normal"/>
                    <w:widowControl w:val="false"/>
                    <w:spacing w:lineRule="auto" w:line="240" w:beforeAutospacing="1" w:after="119"/>
                    <w:jc w:val="center"/>
                    <w:rPr>
                      <w:rFonts w:ascii="Times New Roman" w:hAnsi="Times New Roman" w:eastAsia="Times New Roman" w:cs="Times New Roman"/>
                      <w:color w:val="000000"/>
                      <w:sz w:val="24"/>
                      <w:szCs w:val="24"/>
                      <w:lang w:val="en-US" w:eastAsia="pt-BR"/>
                    </w:rPr>
                  </w:pPr>
                  <w:r>
                    <w:rPr>
                      <w:rFonts w:eastAsia="Times New Roman" w:cs="Arial" w:ascii="Arial" w:hAnsi="Arial"/>
                      <w:color w:val="000000"/>
                      <w:sz w:val="18"/>
                      <w:szCs w:val="18"/>
                      <w:lang w:val="en-US" w:eastAsia="pt-BR"/>
                    </w:rPr>
                    <w:t>sachê</w:t>
                  </w:r>
                </w:p>
              </w:tc>
              <w:tc>
                <w:tcPr>
                  <w:tcW w:w="96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R$ 9,90</w:t>
                  </w:r>
                </w:p>
              </w:tc>
              <w:tc>
                <w:tcPr>
                  <w:tcW w:w="1140" w:type="dxa"/>
                  <w:tcBorders>
                    <w:top w:val="single" w:sz="6" w:space="0" w:color="000000"/>
                    <w:left w:val="single" w:sz="6" w:space="0" w:color="000000"/>
                    <w:bottom w:val="single" w:sz="6" w:space="0" w:color="000000"/>
                    <w:right w:val="single" w:sz="6" w:space="0" w:color="000000"/>
                  </w:tcBorders>
                  <w:tcMar>
                    <w:right w:w="28"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R$ 118,80</w:t>
                  </w:r>
                </w:p>
              </w:tc>
            </w:tr>
            <w:tr>
              <w:trPr>
                <w:trHeight w:val="1425" w:hRule="atLeast"/>
              </w:trPr>
              <w:tc>
                <w:tcPr>
                  <w:tcW w:w="523"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27</w:t>
                  </w:r>
                </w:p>
              </w:tc>
              <w:tc>
                <w:tcPr>
                  <w:tcW w:w="4412" w:type="dxa"/>
                  <w:tcBorders>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 xml:space="preserve">Módulo de fibras alimentares para nutrição enteral ou oral, utilizado para o funcionamento do intestino, contendo mix de fibras, com 100% de fibras solúveis, 60% goma guar. parcialmente hidrolisada e 40% inulina. Forma de apresentação: Lata mínimo de 260g. </w:t>
                  </w:r>
                  <w:r>
                    <w:rPr>
                      <w:rFonts w:eastAsia="Times New Roman" w:cs="Arial" w:ascii="Arial" w:hAnsi="Arial"/>
                      <w:b/>
                      <w:bCs/>
                      <w:color w:val="000000"/>
                      <w:sz w:val="18"/>
                      <w:szCs w:val="18"/>
                      <w:lang w:eastAsia="pt-BR"/>
                    </w:rPr>
                    <w:t>Tipo: Fiber Mais (Nestlé) ou similar.</w:t>
                  </w:r>
                  <w:r>
                    <w:rPr>
                      <w:rFonts w:eastAsia="Times New Roman" w:cs="Arial" w:ascii="Arial" w:hAnsi="Arial"/>
                      <w:color w:val="000000"/>
                      <w:sz w:val="18"/>
                      <w:szCs w:val="18"/>
                      <w:lang w:eastAsia="pt-BR"/>
                    </w:rPr>
                    <w:t xml:space="preserve"> Sabor: Sem sabor. CONTÉM GLÚTEN.</w:t>
                  </w:r>
                </w:p>
              </w:tc>
              <w:tc>
                <w:tcPr>
                  <w:tcW w:w="795"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LATA</w:t>
                  </w:r>
                </w:p>
              </w:tc>
              <w:tc>
                <w:tcPr>
                  <w:tcW w:w="1020"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12</w:t>
                  </w:r>
                </w:p>
              </w:tc>
              <w:tc>
                <w:tcPr>
                  <w:tcW w:w="1245"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Nestlé</w:t>
                  </w:r>
                </w:p>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 xml:space="preserve">Resource Fiber Mais lata </w:t>
                  </w:r>
                </w:p>
              </w:tc>
              <w:tc>
                <w:tcPr>
                  <w:tcW w:w="960" w:type="dxa"/>
                  <w:tcBorders>
                    <w:top w:val="single" w:sz="6" w:space="0" w:color="000000"/>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R$ 58,00</w:t>
                  </w:r>
                </w:p>
              </w:tc>
              <w:tc>
                <w:tcPr>
                  <w:tcW w:w="1140" w:type="dxa"/>
                  <w:tcBorders>
                    <w:top w:val="single" w:sz="6" w:space="0" w:color="000000"/>
                    <w:left w:val="single" w:sz="6" w:space="0" w:color="000000"/>
                    <w:bottom w:val="single" w:sz="6" w:space="0" w:color="000000"/>
                    <w:right w:val="single" w:sz="6" w:space="0" w:color="000000"/>
                  </w:tcBorders>
                  <w:shd w:color="auto" w:fill="FFFFFF" w:val="clear"/>
                  <w:tcMar>
                    <w:right w:w="28"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color w:val="000000"/>
                      <w:sz w:val="18"/>
                      <w:szCs w:val="18"/>
                      <w:lang w:eastAsia="pt-BR"/>
                    </w:rPr>
                    <w:t>R$ 696,00</w:t>
                  </w:r>
                </w:p>
              </w:tc>
            </w:tr>
            <w:tr>
              <w:trPr/>
              <w:tc>
                <w:tcPr>
                  <w:tcW w:w="523" w:type="dxa"/>
                  <w:tcBorders/>
                  <w:tcMar>
                    <w:left w:w="0"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tc>
              <w:tc>
                <w:tcPr>
                  <w:tcW w:w="4412" w:type="dxa"/>
                  <w:tcBorders/>
                  <w:tcMar>
                    <w:left w:w="0" w:type="dxa"/>
                  </w:tcMar>
                </w:tcPr>
                <w:p>
                  <w:pPr>
                    <w:pStyle w:val="Normal"/>
                    <w:widowControl w:val="false"/>
                    <w:spacing w:lineRule="auto" w:line="240" w:beforeAutospacing="1" w:after="119"/>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tc>
              <w:tc>
                <w:tcPr>
                  <w:tcW w:w="795" w:type="dxa"/>
                  <w:tcBorders/>
                  <w:tcMar>
                    <w:left w:w="0"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tc>
              <w:tc>
                <w:tcPr>
                  <w:tcW w:w="1020" w:type="dxa"/>
                  <w:tcBorders/>
                  <w:tcMar>
                    <w:left w:w="0"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tc>
              <w:tc>
                <w:tcPr>
                  <w:tcW w:w="1245" w:type="dxa"/>
                  <w:tcBorders/>
                  <w:tcMar>
                    <w:left w:w="0" w:type="dxa"/>
                  </w:tcMar>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tc>
              <w:tc>
                <w:tcPr>
                  <w:tcW w:w="960" w:type="dxa"/>
                  <w:tcBorders>
                    <w:left w:val="single" w:sz="6" w:space="0" w:color="000000"/>
                    <w:bottom w:val="single" w:sz="6" w:space="0" w:color="000000"/>
                  </w:tcBorders>
                </w:tcPr>
                <w:p>
                  <w:pPr>
                    <w:pStyle w:val="Normal"/>
                    <w:widowControl w:val="false"/>
                    <w:spacing w:lineRule="auto" w:line="240" w:beforeAutospacing="1" w:after="119"/>
                    <w:jc w:val="center"/>
                    <w:rPr>
                      <w:rFonts w:ascii="Times New Roman" w:hAnsi="Times New Roman" w:eastAsia="Times New Roman" w:cs="Times New Roman"/>
                      <w:color w:val="000000"/>
                      <w:sz w:val="24"/>
                      <w:szCs w:val="24"/>
                      <w:lang w:eastAsia="pt-BR"/>
                    </w:rPr>
                  </w:pPr>
                  <w:r>
                    <w:rPr>
                      <w:rFonts w:eastAsia="Times New Roman" w:cs="Arial" w:ascii="Arial" w:hAnsi="Arial"/>
                      <w:b/>
                      <w:bCs/>
                      <w:color w:val="000000"/>
                      <w:sz w:val="18"/>
                      <w:szCs w:val="18"/>
                      <w:lang w:eastAsia="pt-BR"/>
                    </w:rPr>
                    <w:t>V. TOTAL</w:t>
                  </w:r>
                </w:p>
              </w:tc>
              <w:tc>
                <w:tcPr>
                  <w:tcW w:w="1140" w:type="dxa"/>
                  <w:tcBorders>
                    <w:left w:val="single" w:sz="6" w:space="0" w:color="000000"/>
                    <w:bottom w:val="single" w:sz="6" w:space="0" w:color="000000"/>
                    <w:right w:val="single" w:sz="6" w:space="0" w:color="000000"/>
                  </w:tcBorders>
                  <w:shd w:color="auto" w:fill="FFFFFF" w:val="clear"/>
                  <w:tcMar>
                    <w:right w:w="28" w:type="dxa"/>
                  </w:tcMar>
                </w:tcPr>
                <w:p>
                  <w:pPr>
                    <w:pStyle w:val="Normal"/>
                    <w:widowControl w:val="false"/>
                    <w:spacing w:lineRule="auto" w:line="240" w:beforeAutospacing="1" w:after="119"/>
                    <w:rPr>
                      <w:rFonts w:ascii="Times New Roman" w:hAnsi="Times New Roman" w:eastAsia="Times New Roman" w:cs="Times New Roman"/>
                      <w:color w:val="000000"/>
                      <w:sz w:val="24"/>
                      <w:szCs w:val="24"/>
                      <w:lang w:eastAsia="pt-BR"/>
                    </w:rPr>
                  </w:pPr>
                  <w:r>
                    <w:rPr>
                      <w:rFonts w:eastAsia="Times New Roman" w:cs="Arial" w:ascii="Arial" w:hAnsi="Arial"/>
                      <w:b/>
                      <w:bCs/>
                      <w:color w:val="000000"/>
                      <w:sz w:val="18"/>
                      <w:szCs w:val="18"/>
                      <w:lang w:eastAsia="pt-BR"/>
                    </w:rPr>
                    <w:t>R$ 22.772,40</w:t>
                  </w:r>
                </w:p>
              </w:tc>
            </w:tr>
          </w:tbl>
          <w:p>
            <w:pPr>
              <w:pStyle w:val="LOnormal"/>
              <w:widowControl w:val="false"/>
              <w:tabs>
                <w:tab w:val="clear" w:pos="708"/>
                <w:tab w:val="left" w:pos="1530" w:leader="none"/>
              </w:tabs>
              <w:spacing w:before="240" w:after="0"/>
              <w:jc w:val="left"/>
              <w:rPr>
                <w:rFonts w:ascii="Arial" w:hAnsi="Arial" w:eastAsia="Times New Roman" w:cs="Arial"/>
                <w:b/>
                <w:b/>
                <w:bCs/>
                <w:color w:val="000000"/>
                <w:sz w:val="18"/>
                <w:szCs w:val="18"/>
                <w:lang w:eastAsia="pt-BR"/>
              </w:rPr>
            </w:pPr>
            <w:r>
              <w:rPr>
                <w:rFonts w:eastAsia="Times New Roman" w:cs="Arial" w:ascii="Arial" w:hAnsi="Arial"/>
                <w:b/>
                <w:bCs/>
                <w:color w:val="000000"/>
                <w:kern w:val="0"/>
                <w:sz w:val="18"/>
                <w:szCs w:val="18"/>
                <w:u w:val="single"/>
                <w:lang w:val="pt-BR" w:eastAsia="pt-BR" w:bidi="ar-SA"/>
              </w:rPr>
              <w:t>ÓRGÃO GESTOR DO SISTEMA DE REGISTRO DE PREÇOS</w:t>
            </w:r>
          </w:p>
          <w:p>
            <w:pPr>
              <w:pStyle w:val="Normal"/>
              <w:widowControl/>
              <w:spacing w:lineRule="auto" w:line="240" w:before="240" w:after="0"/>
              <w:jc w:val="both"/>
              <w:rPr>
                <w:rFonts w:ascii="Arial" w:hAnsi="Arial" w:eastAsia="Times New Roman" w:cs="Arial"/>
                <w:color w:val="000000"/>
                <w:sz w:val="18"/>
                <w:szCs w:val="18"/>
                <w:lang w:eastAsia="pt-BR"/>
              </w:rPr>
            </w:pPr>
            <w:r>
              <w:rPr>
                <w:rFonts w:eastAsia="Times New Roman" w:cs="Arial" w:ascii="Arial" w:hAnsi="Arial"/>
                <w:color w:val="000000"/>
                <w:kern w:val="0"/>
                <w:sz w:val="18"/>
                <w:szCs w:val="18"/>
                <w:shd w:fill="FFFFFF" w:val="clear"/>
                <w:lang w:val="pt-BR" w:eastAsia="pt-BR" w:bidi="ar-SA"/>
              </w:rPr>
              <w:t>O FMS, na qualidade de responsável pelo Sistema de Registro de Preços – SRP, será o órgão gestor do Registro de Preços.</w:t>
            </w:r>
          </w:p>
          <w:p>
            <w:pPr>
              <w:pStyle w:val="Normal"/>
              <w:widowControl/>
              <w:spacing w:lineRule="auto" w:line="240" w:before="240" w:after="0"/>
              <w:jc w:val="left"/>
              <w:rPr>
                <w:rFonts w:ascii="Arial" w:hAnsi="Arial" w:eastAsia="Times New Roman" w:cs="Arial"/>
                <w:color w:val="000000"/>
                <w:sz w:val="18"/>
                <w:szCs w:val="18"/>
                <w:lang w:eastAsia="pt-BR"/>
              </w:rPr>
            </w:pPr>
            <w:r>
              <w:rPr>
                <w:rFonts w:eastAsia="Times New Roman" w:cs="Arial" w:ascii="Arial" w:hAnsi="Arial"/>
                <w:b/>
                <w:bCs/>
                <w:color w:val="000000"/>
                <w:kern w:val="0"/>
                <w:sz w:val="18"/>
                <w:szCs w:val="18"/>
                <w:u w:val="single"/>
                <w:lang w:val="pt-BR" w:eastAsia="pt-BR" w:bidi="ar-SA"/>
              </w:rPr>
              <w:t>FISCALIZAÇÃO E GERENCIAMENTO DA CONTRATAÇÃO</w:t>
            </w:r>
          </w:p>
          <w:p>
            <w:pPr>
              <w:pStyle w:val="Normal"/>
              <w:widowControl/>
              <w:spacing w:lineRule="auto" w:line="240" w:before="240" w:after="0"/>
              <w:jc w:val="both"/>
              <w:rPr>
                <w:rFonts w:ascii="Arial" w:hAnsi="Arial" w:eastAsia="Times New Roman" w:cs="Arial"/>
                <w:color w:val="000000"/>
                <w:sz w:val="18"/>
                <w:szCs w:val="18"/>
                <w:lang w:eastAsia="pt-BR"/>
              </w:rPr>
            </w:pPr>
            <w:r>
              <w:rPr>
                <w:rFonts w:eastAsia="Times New Roman" w:cs="Arial" w:ascii="Arial" w:hAnsi="Arial"/>
                <w:color w:val="000000"/>
                <w:kern w:val="0"/>
                <w:sz w:val="18"/>
                <w:szCs w:val="18"/>
                <w:shd w:fill="FFFFFF" w:val="clear"/>
                <w:lang w:val="pt-BR" w:eastAsia="pt-BR" w:bidi="ar-SA"/>
              </w:rPr>
              <w:t>O gerenciamento e a fiscalização da contratação decorrente no edital caberão ao FMS, através dos servidores a serem designados,</w:t>
            </w:r>
            <w:r>
              <w:rPr>
                <w:rFonts w:eastAsia="Times New Roman" w:cs="Arial" w:ascii="Arial" w:hAnsi="Arial"/>
                <w:b/>
                <w:bCs/>
                <w:color w:val="000000"/>
                <w:kern w:val="0"/>
                <w:sz w:val="18"/>
                <w:szCs w:val="18"/>
                <w:shd w:fill="FFFFFF" w:val="clear"/>
                <w:lang w:val="pt-BR" w:eastAsia="pt-BR" w:bidi="ar-SA"/>
              </w:rPr>
              <w:t xml:space="preserve"> </w:t>
            </w:r>
            <w:r>
              <w:rPr>
                <w:rFonts w:eastAsia="Times New Roman" w:cs="Arial" w:ascii="Arial" w:hAnsi="Arial"/>
                <w:color w:val="000000"/>
                <w:kern w:val="0"/>
                <w:sz w:val="18"/>
                <w:szCs w:val="18"/>
                <w:shd w:fill="FFFFFF" w:val="clear"/>
                <w:lang w:val="pt-BR" w:eastAsia="pt-BR" w:bidi="ar-SA"/>
              </w:rPr>
              <w:t>que determinarão o que for necessário para regularização de faltas ou defeitos, nos termos do art. 67 da Lei Fe</w:t>
            </w:r>
            <w:bookmarkStart w:id="0" w:name="_GoBack"/>
            <w:bookmarkEnd w:id="0"/>
            <w:r>
              <w:rPr>
                <w:rFonts w:eastAsia="Times New Roman" w:cs="Arial" w:ascii="Arial" w:hAnsi="Arial"/>
                <w:color w:val="000000"/>
                <w:kern w:val="0"/>
                <w:sz w:val="18"/>
                <w:szCs w:val="18"/>
                <w:shd w:fill="FFFFFF" w:val="clear"/>
                <w:lang w:val="pt-BR" w:eastAsia="pt-BR" w:bidi="ar-SA"/>
              </w:rPr>
              <w:t>deral nº 8.666/93 e, na sua falta ou impedimento, ao seu substituto.</w:t>
            </w:r>
          </w:p>
          <w:p>
            <w:pPr>
              <w:pStyle w:val="Textbody"/>
              <w:widowControl w:val="false"/>
              <w:spacing w:lineRule="atLeast" w:line="113" w:before="240" w:after="120"/>
              <w:jc w:val="center"/>
              <w:rPr>
                <w:rFonts w:ascii="Arial" w:hAnsi="Arial" w:cs="Arial"/>
                <w:b/>
                <w:b/>
                <w:sz w:val="18"/>
                <w:szCs w:val="18"/>
                <w:lang w:val="pt-BR"/>
              </w:rPr>
            </w:pPr>
            <w:r>
              <w:rPr>
                <w:rFonts w:cs="Arial" w:ascii="Arial" w:hAnsi="Arial"/>
                <w:b/>
                <w:bCs/>
                <w:sz w:val="18"/>
                <w:szCs w:val="18"/>
                <w:lang w:val="pt-BR"/>
              </w:rPr>
              <w:t>Érica Guimarães Oliveira da Fonseca</w:t>
            </w:r>
          </w:p>
          <w:p>
            <w:pPr>
              <w:pStyle w:val="Textbody"/>
              <w:widowControl w:val="false"/>
              <w:spacing w:lineRule="atLeast" w:line="113" w:before="240" w:after="120"/>
              <w:jc w:val="center"/>
              <w:rPr>
                <w:rFonts w:ascii="Arial" w:hAnsi="Arial" w:cs="Arial"/>
                <w:b/>
                <w:b/>
                <w:sz w:val="18"/>
                <w:szCs w:val="18"/>
                <w:lang w:val="pt-BR"/>
              </w:rPr>
            </w:pPr>
            <w:r>
              <w:rPr>
                <w:rFonts w:cs="Arial" w:ascii="Arial" w:hAnsi="Arial"/>
                <w:b/>
                <w:sz w:val="18"/>
                <w:szCs w:val="18"/>
                <w:lang w:val="pt-BR"/>
              </w:rPr>
              <w:t>SEMSA/FMS</w:t>
            </w:r>
          </w:p>
          <w:p>
            <w:pPr>
              <w:pStyle w:val="Textbody"/>
              <w:widowControl w:val="false"/>
              <w:spacing w:lineRule="atLeast" w:line="113" w:before="240" w:after="120"/>
              <w:jc w:val="center"/>
              <w:rPr>
                <w:rFonts w:ascii="Arial" w:hAnsi="Arial" w:cs="Arial"/>
                <w:b/>
                <w:b/>
                <w:sz w:val="18"/>
                <w:szCs w:val="18"/>
                <w:lang w:val="pt-BR"/>
              </w:rPr>
            </w:pPr>
            <w:r>
              <w:rPr>
                <w:rFonts w:cs="Arial" w:ascii="Arial" w:hAnsi="Arial"/>
                <w:b/>
                <w:sz w:val="18"/>
                <w:szCs w:val="18"/>
                <w:lang w:val="pt-BR"/>
              </w:rPr>
              <w:t>Mat. 2913/0</w:t>
            </w:r>
          </w:p>
          <w:p>
            <w:pPr>
              <w:pStyle w:val="Textbody"/>
              <w:widowControl w:val="false"/>
              <w:spacing w:before="240" w:after="120"/>
              <w:jc w:val="center"/>
              <w:rPr>
                <w:rFonts w:ascii="Arial" w:hAnsi="Arial" w:cs="Arial"/>
                <w:b/>
                <w:b/>
                <w:sz w:val="18"/>
                <w:szCs w:val="18"/>
              </w:rPr>
            </w:pPr>
            <w:r>
              <w:rPr>
                <w:rFonts w:cs="Arial" w:ascii="Arial" w:hAnsi="Arial"/>
                <w:b/>
                <w:sz w:val="18"/>
                <w:szCs w:val="18"/>
                <w:lang w:val="pt-BR"/>
              </w:rPr>
              <w:t>Gestora</w:t>
            </w:r>
          </w:p>
          <w:p>
            <w:pPr>
              <w:pStyle w:val="Textbody"/>
              <w:widowControl w:val="false"/>
              <w:spacing w:before="240" w:after="120"/>
              <w:jc w:val="center"/>
              <w:rPr>
                <w:rFonts w:ascii="Arial" w:hAnsi="Arial" w:cs="Arial"/>
                <w:b/>
                <w:b/>
                <w:bCs/>
                <w:sz w:val="18"/>
                <w:szCs w:val="18"/>
              </w:rPr>
            </w:pPr>
            <w:r>
              <w:rPr>
                <w:rFonts w:cs="Arial" w:ascii="Arial" w:hAnsi="Arial"/>
                <w:b/>
                <w:bCs/>
                <w:sz w:val="18"/>
                <w:szCs w:val="18"/>
                <w:lang w:val="pt-BR"/>
              </w:rPr>
              <w:t>Nutrimix Comercial LTDA.</w:t>
            </w:r>
          </w:p>
          <w:p>
            <w:pPr>
              <w:pStyle w:val="Textbody"/>
              <w:widowControl w:val="false"/>
              <w:spacing w:before="240" w:after="120"/>
              <w:jc w:val="center"/>
              <w:rPr>
                <w:rFonts w:ascii="Arial" w:hAnsi="Arial" w:cs="Arial"/>
                <w:b/>
                <w:b/>
                <w:sz w:val="18"/>
                <w:szCs w:val="18"/>
              </w:rPr>
            </w:pPr>
            <w:r>
              <w:rPr>
                <w:rFonts w:cs="Arial" w:ascii="Arial" w:hAnsi="Arial"/>
                <w:b/>
                <w:sz w:val="18"/>
                <w:szCs w:val="18"/>
                <w:lang w:val="pt-BR"/>
              </w:rPr>
              <w:t>Empresa</w:t>
            </w:r>
          </w:p>
        </w:tc>
      </w:tr>
    </w:tbl>
    <w:p>
      <w:pPr>
        <w:pStyle w:val="Normal"/>
        <w:widowControl/>
        <w:bidi w:val="0"/>
        <w:spacing w:lineRule="auto" w:line="259" w:before="0" w:after="160"/>
        <w:jc w:val="left"/>
        <w:rPr/>
      </w:pPr>
      <w:r>
        <w:rPr/>
      </w:r>
    </w:p>
    <w:sectPr>
      <w:type w:val="nextPage"/>
      <w:pgSz w:w="11906" w:h="16838"/>
      <w:pgMar w:left="1701" w:right="1701" w:header="0" w:top="737" w:footer="0" w:bottom="6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2">
    <w:name w:val="Heading 2"/>
    <w:basedOn w:val="Normal"/>
    <w:link w:val="Ttulo2Char"/>
    <w:uiPriority w:val="9"/>
    <w:qFormat/>
    <w:rsid w:val="003b1e77"/>
    <w:pPr>
      <w:spacing w:lineRule="auto" w:line="240" w:before="0" w:after="0"/>
      <w:ind w:right="-284" w:hanging="0"/>
      <w:jc w:val="both"/>
      <w:outlineLvl w:val="1"/>
    </w:pPr>
    <w:rPr>
      <w:rFonts w:ascii="Times New Roman" w:hAnsi="Times New Roman" w:eastAsia="Times New Roman" w:cs="Times New Roman"/>
      <w:b/>
      <w:bCs/>
      <w:color w:val="000000"/>
      <w:sz w:val="36"/>
      <w:szCs w:val="36"/>
      <w:lang w:eastAsia="pt-BR"/>
    </w:rPr>
  </w:style>
  <w:style w:type="character" w:styleId="DefaultParagraphFont" w:default="1">
    <w:name w:val="Default Paragraph Font"/>
    <w:uiPriority w:val="1"/>
    <w:unhideWhenUsed/>
    <w:qFormat/>
    <w:rPr/>
  </w:style>
  <w:style w:type="character" w:styleId="Ttulo2Char" w:customStyle="1">
    <w:name w:val="Título 2 Char"/>
    <w:basedOn w:val="DefaultParagraphFont"/>
    <w:link w:val="Ttulo2"/>
    <w:uiPriority w:val="9"/>
    <w:qFormat/>
    <w:rsid w:val="003b1e77"/>
    <w:rPr>
      <w:rFonts w:ascii="Times New Roman" w:hAnsi="Times New Roman" w:eastAsia="Times New Roman" w:cs="Times New Roman"/>
      <w:b/>
      <w:bCs/>
      <w:color w:val="000000"/>
      <w:sz w:val="36"/>
      <w:szCs w:val="36"/>
      <w:lang w:eastAsia="pt-BR"/>
    </w:rPr>
  </w:style>
  <w:style w:type="character" w:styleId="CabealhoChar" w:customStyle="1">
    <w:name w:val="Cabeçalho Char"/>
    <w:basedOn w:val="DefaultParagraphFont"/>
    <w:link w:val="Cabealho"/>
    <w:qFormat/>
    <w:rsid w:val="00333b82"/>
    <w:rPr>
      <w:rFonts w:ascii="Times New Roman" w:hAnsi="Times New Roman" w:eastAsia="SimSun" w:cs="Mangal"/>
      <w:kern w:val="2"/>
      <w:sz w:val="24"/>
      <w:szCs w:val="21"/>
      <w:lang w:eastAsia="zh-CN" w:bidi="hi-IN"/>
    </w:rPr>
  </w:style>
  <w:style w:type="character" w:styleId="RodapChar" w:customStyle="1">
    <w:name w:val="Rodapé Char"/>
    <w:basedOn w:val="DefaultParagraphFont"/>
    <w:link w:val="Rodap"/>
    <w:qFormat/>
    <w:rsid w:val="00333b82"/>
    <w:rPr>
      <w:rFonts w:ascii="Times New Roman" w:hAnsi="Times New Roman" w:eastAsia="SimSun" w:cs="Mangal"/>
      <w:kern w:val="2"/>
      <w:sz w:val="24"/>
      <w:szCs w:val="21"/>
      <w:lang w:eastAsia="zh-CN" w:bidi="hi-IN"/>
    </w:rPr>
  </w:style>
  <w:style w:type="character" w:styleId="Fontepargpadro2" w:customStyle="1">
    <w:name w:val="Fonte parág. padrão2"/>
    <w:qFormat/>
    <w:rsid w:val="00333b82"/>
    <w:rPr/>
  </w:style>
  <w:style w:type="character" w:styleId="Fontepargpadro1" w:customStyle="1">
    <w:name w:val="Fonte parág. padrão1"/>
    <w:qFormat/>
    <w:rsid w:val="00333b82"/>
    <w:rPr/>
  </w:style>
  <w:style w:type="character" w:styleId="Internetlink" w:customStyle="1">
    <w:name w:val="Hyperlink"/>
    <w:qFormat/>
    <w:rsid w:val="00333b82"/>
    <w:rPr>
      <w:color w:val="000080"/>
      <w:u w:val="single"/>
    </w:rPr>
  </w:style>
  <w:style w:type="paragraph" w:styleId="Ttulo">
    <w:name w:val="Título"/>
    <w:basedOn w:val="Normal"/>
    <w:next w:val="Corpodotexto"/>
    <w:qFormat/>
    <w:pPr>
      <w:keepNext w:val="true"/>
      <w:spacing w:before="240" w:after="120"/>
    </w:pPr>
    <w:rPr>
      <w:rFonts w:ascii="Arial" w:hAnsi="Arial"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Mangal"/>
    </w:rPr>
  </w:style>
  <w:style w:type="paragraph" w:styleId="Legenda">
    <w:name w:val="Caption"/>
    <w:basedOn w:val="Normal"/>
    <w:qFormat/>
    <w:pPr>
      <w:suppressLineNumbers/>
      <w:spacing w:before="120" w:after="120"/>
    </w:pPr>
    <w:rPr>
      <w:rFonts w:ascii="Arial" w:hAnsi="Arial" w:cs="Mangal"/>
      <w:i/>
      <w:iCs/>
      <w:sz w:val="24"/>
      <w:szCs w:val="24"/>
    </w:rPr>
  </w:style>
  <w:style w:type="paragraph" w:styleId="Ndice">
    <w:name w:val="Índice"/>
    <w:basedOn w:val="Normal"/>
    <w:qFormat/>
    <w:pPr>
      <w:suppressLineNumbers/>
    </w:pPr>
    <w:rPr>
      <w:rFonts w:ascii="Arial" w:hAnsi="Arial" w:cs="Mangal"/>
    </w:rPr>
  </w:style>
  <w:style w:type="paragraph" w:styleId="Western" w:customStyle="1">
    <w:name w:val="western"/>
    <w:basedOn w:val="Normal"/>
    <w:qFormat/>
    <w:rsid w:val="00be7d66"/>
    <w:pPr>
      <w:spacing w:lineRule="auto" w:line="240" w:beforeAutospacing="1" w:after="119"/>
    </w:pPr>
    <w:rPr>
      <w:rFonts w:ascii="Times New Roman" w:hAnsi="Times New Roman" w:eastAsia="Times New Roman" w:cs="Times New Roman"/>
      <w:color w:val="000000"/>
      <w:sz w:val="24"/>
      <w:szCs w:val="24"/>
      <w:lang w:eastAsia="pt-BR"/>
    </w:rPr>
  </w:style>
  <w:style w:type="paragraph" w:styleId="NormalWeb">
    <w:name w:val="Normal (Web)"/>
    <w:basedOn w:val="Normal"/>
    <w:uiPriority w:val="99"/>
    <w:semiHidden/>
    <w:unhideWhenUsed/>
    <w:qFormat/>
    <w:rsid w:val="006e709c"/>
    <w:pPr>
      <w:spacing w:lineRule="auto" w:line="240" w:beforeAutospacing="1" w:after="119"/>
    </w:pPr>
    <w:rPr>
      <w:rFonts w:ascii="Times New Roman" w:hAnsi="Times New Roman" w:eastAsia="Times New Roman" w:cs="Times New Roman"/>
      <w:sz w:val="24"/>
      <w:szCs w:val="24"/>
      <w:lang w:eastAsia="pt-BR"/>
    </w:rPr>
  </w:style>
  <w:style w:type="paragraph" w:styleId="LOnormal" w:customStyle="1">
    <w:name w:val="LO-normal"/>
    <w:basedOn w:val="Normal"/>
    <w:qFormat/>
    <w:rsid w:val="006c01b7"/>
    <w:pPr>
      <w:keepLines/>
      <w:suppressAutoHyphens w:val="true"/>
      <w:spacing w:lineRule="auto" w:line="240" w:before="0" w:after="0"/>
      <w:jc w:val="both"/>
      <w:textAlignment w:val="baseline"/>
    </w:pPr>
    <w:rPr>
      <w:rFonts w:ascii="Times New Roman" w:hAnsi="Times New Roman" w:eastAsia="SimSun" w:cs="Tahoma"/>
      <w:kern w:val="2"/>
      <w:sz w:val="24"/>
      <w:szCs w:val="24"/>
      <w:lang w:eastAsia="zh-CN" w:bidi="pt-BR"/>
    </w:rPr>
  </w:style>
  <w:style w:type="paragraph" w:styleId="Standard" w:customStyle="1">
    <w:name w:val="Standard"/>
    <w:qFormat/>
    <w:rsid w:val="00333b82"/>
    <w:pPr>
      <w:widowControl/>
      <w:bidi w:val="0"/>
      <w:spacing w:lineRule="auto" w:line="254" w:before="0" w:after="160"/>
      <w:jc w:val="left"/>
      <w:textAlignment w:val="baseline"/>
    </w:pPr>
    <w:rPr>
      <w:rFonts w:ascii="Calibri" w:hAnsi="Calibri" w:eastAsia="Calibri" w:cs="Times New Roman" w:asciiTheme="minorHAnsi" w:eastAsiaTheme="minorHAnsi" w:hAnsiTheme="minorHAnsi"/>
      <w:color w:val="auto"/>
      <w:kern w:val="0"/>
      <w:sz w:val="22"/>
      <w:szCs w:val="22"/>
      <w:lang w:val="pt-BR" w:eastAsia="en-US" w:bidi="ar-SA"/>
    </w:rPr>
  </w:style>
  <w:style w:type="paragraph" w:styleId="CabealhoeRodap">
    <w:name w:val="Cabeçalho e Rodapé"/>
    <w:basedOn w:val="Normal"/>
    <w:qFormat/>
    <w:pPr/>
    <w:rPr/>
  </w:style>
  <w:style w:type="paragraph" w:styleId="Cabealho">
    <w:name w:val="Header"/>
    <w:basedOn w:val="Normal"/>
    <w:link w:val="CabealhoChar"/>
    <w:rsid w:val="00333b82"/>
    <w:pPr>
      <w:widowControl w:val="false"/>
      <w:tabs>
        <w:tab w:val="clear" w:pos="708"/>
        <w:tab w:val="center" w:pos="4252" w:leader="none"/>
        <w:tab w:val="right" w:pos="8504" w:leader="none"/>
      </w:tabs>
      <w:suppressAutoHyphens w:val="true"/>
      <w:spacing w:lineRule="auto" w:line="240" w:before="0" w:after="0"/>
      <w:textAlignment w:val="baseline"/>
    </w:pPr>
    <w:rPr>
      <w:rFonts w:ascii="Times New Roman" w:hAnsi="Times New Roman" w:eastAsia="SimSun" w:cs="Mangal"/>
      <w:kern w:val="2"/>
      <w:sz w:val="24"/>
      <w:szCs w:val="21"/>
      <w:lang w:eastAsia="zh-CN" w:bidi="hi-IN"/>
    </w:rPr>
  </w:style>
  <w:style w:type="paragraph" w:styleId="Rodap">
    <w:name w:val="Footer"/>
    <w:basedOn w:val="Normal"/>
    <w:link w:val="RodapChar"/>
    <w:rsid w:val="00333b82"/>
    <w:pPr>
      <w:widowControl w:val="false"/>
      <w:tabs>
        <w:tab w:val="clear" w:pos="708"/>
        <w:tab w:val="center" w:pos="4252" w:leader="none"/>
        <w:tab w:val="right" w:pos="8504" w:leader="none"/>
      </w:tabs>
      <w:suppressAutoHyphens w:val="true"/>
      <w:spacing w:lineRule="auto" w:line="240" w:before="0" w:after="0"/>
      <w:textAlignment w:val="baseline"/>
    </w:pPr>
    <w:rPr>
      <w:rFonts w:ascii="Times New Roman" w:hAnsi="Times New Roman" w:eastAsia="SimSun" w:cs="Mangal"/>
      <w:kern w:val="2"/>
      <w:sz w:val="24"/>
      <w:szCs w:val="21"/>
      <w:lang w:eastAsia="zh-CN" w:bidi="hi-IN"/>
    </w:rPr>
  </w:style>
  <w:style w:type="paragraph" w:styleId="Textbody" w:customStyle="1">
    <w:name w:val="Text body"/>
    <w:basedOn w:val="Normal"/>
    <w:qFormat/>
    <w:rsid w:val="00333b82"/>
    <w:pPr>
      <w:suppressAutoHyphens w:val="true"/>
      <w:spacing w:lineRule="auto" w:line="240" w:before="0" w:after="120"/>
      <w:textAlignment w:val="baseline"/>
    </w:pPr>
    <w:rPr>
      <w:rFonts w:ascii="Times New Roman" w:hAnsi="Times New Roman" w:eastAsia="SimSun" w:cs="Mangal"/>
      <w:color w:val="000000"/>
      <w:kern w:val="2"/>
      <w:sz w:val="24"/>
      <w:szCs w:val="24"/>
      <w:lang w:eastAsia="zh-CN" w:bidi="hi-IN"/>
    </w:rPr>
  </w:style>
  <w:style w:type="paragraph" w:styleId="Contedodatabela" w:customStyle="1">
    <w:name w:val="Conteúdo da tabela"/>
    <w:basedOn w:val="Textbody"/>
    <w:qFormat/>
    <w:rsid w:val="00333b82"/>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be7d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LibreOffice/7.0.4.2$Windows_X86_64 LibreOffice_project/dcf040e67528d9187c66b2379df5ea4407429775</Application>
  <AppVersion>15.0000</AppVersion>
  <Pages>2</Pages>
  <Words>1111</Words>
  <Characters>6106</Characters>
  <CharactersWithSpaces>7103</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2021-03-09T16:38:00Z</dcterms:created>
  <dc:creator>Marina Barboza de Castro</dc:creator>
  <dc:description/>
  <dc:language>pt-BR</dc:language>
  <cp:lastModifiedBy/>
  <dcterms:modified xsi:type="dcterms:W3CDTF">2021-03-09T14:43:44Z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